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rPr>
          <w:rFonts w:hint="default" w:eastAsia="宋体"/>
          <w:lang w:val="en-US" w:eastAsia="zh-CN"/>
        </w:rPr>
      </w:pPr>
      <w:bookmarkStart w:id="0" w:name="_Hlk19781073"/>
      <w:r>
        <w:t>3GPP T</w:t>
      </w:r>
      <w:bookmarkStart w:id="1" w:name="_Ref452454252"/>
      <w:bookmarkEnd w:id="1"/>
      <w:r>
        <w:t>SG-</w:t>
      </w:r>
      <w:r>
        <w:rPr>
          <w:szCs w:val="24"/>
        </w:rPr>
        <w:t>RAN WG3 Meeting #12</w:t>
      </w:r>
      <w:r>
        <w:rPr>
          <w:rFonts w:hint="eastAsia" w:eastAsia="宋体"/>
          <w:szCs w:val="24"/>
          <w:lang w:val="en-US" w:eastAsia="zh-CN"/>
        </w:rPr>
        <w:t>4</w:t>
      </w:r>
      <w:r>
        <w:tab/>
      </w:r>
      <w:r>
        <w:rPr>
          <w:lang w:eastAsia="ja-JP"/>
        </w:rPr>
        <w:t>R3-2</w:t>
      </w:r>
      <w:r>
        <w:rPr>
          <w:rFonts w:hint="eastAsia" w:eastAsia="宋体"/>
          <w:lang w:val="en-US" w:eastAsia="zh-CN"/>
        </w:rPr>
        <w:t>43571</w:t>
      </w:r>
    </w:p>
    <w:p>
      <w:pPr>
        <w:pStyle w:val="118"/>
        <w:rPr>
          <w:rFonts w:hint="eastAsia" w:eastAsia="宋体"/>
          <w:lang w:eastAsia="zh-CN"/>
        </w:rPr>
      </w:pPr>
      <w:bookmarkStart w:id="2" w:name="_Hlk19781143"/>
      <w:r>
        <w:rPr>
          <w:rFonts w:hint="eastAsia" w:eastAsia="宋体"/>
          <w:szCs w:val="24"/>
          <w:lang w:val="en-US" w:eastAsia="zh-CN"/>
        </w:rPr>
        <w:t>Fukuoka</w:t>
      </w:r>
      <w:r>
        <w:rPr>
          <w:szCs w:val="24"/>
        </w:rPr>
        <w:t xml:space="preserve">, </w:t>
      </w:r>
      <w:r>
        <w:rPr>
          <w:rFonts w:hint="eastAsia" w:eastAsia="宋体"/>
          <w:szCs w:val="24"/>
          <w:lang w:val="en-US" w:eastAsia="zh-CN"/>
        </w:rPr>
        <w:t>Japan</w:t>
      </w:r>
      <w:r>
        <w:rPr>
          <w:szCs w:val="24"/>
        </w:rPr>
        <w:t xml:space="preserve">, </w:t>
      </w:r>
      <w:r>
        <w:rPr>
          <w:rFonts w:hint="eastAsia" w:eastAsia="宋体"/>
          <w:szCs w:val="24"/>
          <w:lang w:val="en-US" w:eastAsia="zh-CN"/>
        </w:rPr>
        <w:t>20</w:t>
      </w:r>
      <w:r>
        <w:rPr>
          <w:vertAlign w:val="superscript"/>
        </w:rPr>
        <w:t>t</w:t>
      </w:r>
      <w:r>
        <w:rPr>
          <w:rFonts w:hint="eastAsia" w:eastAsia="宋体"/>
          <w:vertAlign w:val="superscript"/>
          <w:lang w:val="en-US" w:eastAsia="zh-CN"/>
        </w:rPr>
        <w:t>h</w:t>
      </w:r>
      <w:r>
        <w:rPr>
          <w:rFonts w:hint="eastAsia" w:eastAsia="宋体"/>
          <w:lang w:val="en-US" w:eastAsia="zh-CN"/>
        </w:rPr>
        <w:t xml:space="preserve"> -</w:t>
      </w:r>
      <w:r>
        <w:t xml:space="preserve"> </w:t>
      </w:r>
      <w:r>
        <w:rPr>
          <w:rFonts w:hint="eastAsia" w:eastAsia="宋体"/>
          <w:lang w:val="en-US" w:eastAsia="zh-CN"/>
        </w:rPr>
        <w:t>24</w:t>
      </w:r>
      <w:r>
        <w:rPr>
          <w:rFonts w:hint="eastAsia" w:eastAsia="宋体"/>
          <w:vertAlign w:val="superscript"/>
          <w:lang w:val="en-US" w:eastAsia="zh-CN"/>
        </w:rPr>
        <w:t>th</w:t>
      </w:r>
      <w:r>
        <w:t xml:space="preserve"> </w:t>
      </w:r>
      <w:r>
        <w:rPr>
          <w:rFonts w:hint="eastAsia" w:eastAsia="宋体"/>
          <w:lang w:val="en-US" w:eastAsia="zh-CN"/>
        </w:rPr>
        <w:t>May</w:t>
      </w:r>
      <w:r>
        <w:t xml:space="preserve"> 202</w:t>
      </w:r>
      <w:r>
        <w:rPr>
          <w:rFonts w:hint="eastAsia" w:eastAsia="宋体"/>
          <w:lang w:val="en-US" w:eastAsia="zh-CN"/>
        </w:rPr>
        <w:t>4</w:t>
      </w:r>
    </w:p>
    <w:bookmarkEnd w:id="0"/>
    <w:bookmarkEnd w:id="2"/>
    <w:p>
      <w:pPr>
        <w:pStyle w:val="34"/>
        <w:rPr>
          <w:rFonts w:cs="Arial"/>
          <w:bCs/>
          <w:sz w:val="24"/>
          <w:lang w:eastAsia="ja-JP"/>
        </w:rPr>
      </w:pPr>
    </w:p>
    <w:p>
      <w:pPr>
        <w:pStyle w:val="34"/>
        <w:rPr>
          <w:rFonts w:cs="Arial"/>
          <w:bCs/>
          <w:sz w:val="24"/>
          <w:lang w:eastAsia="ja-JP"/>
        </w:rPr>
      </w:pPr>
    </w:p>
    <w:p>
      <w:pPr>
        <w:pStyle w:val="89"/>
        <w:rPr>
          <w:rFonts w:hint="default" w:eastAsia="宋体"/>
          <w:lang w:val="en-US" w:eastAsia="zh-CN"/>
        </w:rPr>
      </w:pPr>
      <w:r>
        <w:t>Agenda Item:</w:t>
      </w:r>
      <w:r>
        <w:tab/>
      </w:r>
      <w:r>
        <w:rPr>
          <w:rFonts w:hint="eastAsia" w:eastAsia="宋体"/>
          <w:lang w:val="en-US" w:eastAsia="zh-CN"/>
        </w:rPr>
        <w:t>10.3.1</w:t>
      </w:r>
    </w:p>
    <w:p>
      <w:pPr>
        <w:pStyle w:val="89"/>
        <w:rPr>
          <w:rFonts w:hint="default" w:eastAsia="宋体"/>
          <w:lang w:val="en-US" w:eastAsia="zh-CN"/>
        </w:rPr>
      </w:pPr>
      <w:r>
        <w:t>Source:</w:t>
      </w:r>
      <w:r>
        <w:tab/>
      </w:r>
      <w:r>
        <w:rPr>
          <w:rFonts w:hint="eastAsia" w:eastAsia="宋体"/>
          <w:lang w:val="en-US" w:eastAsia="zh-CN"/>
        </w:rPr>
        <w:t>ZTE</w:t>
      </w:r>
    </w:p>
    <w:p>
      <w:pPr>
        <w:pStyle w:val="89"/>
        <w:ind w:left="1985" w:hanging="1985"/>
        <w:rPr>
          <w:rFonts w:hint="default"/>
          <w:lang w:val="en-US" w:eastAsia="ja-JP"/>
        </w:rPr>
      </w:pPr>
      <w:r>
        <w:t>Title:</w:t>
      </w:r>
      <w:r>
        <w:tab/>
      </w:r>
      <w:r>
        <w:rPr>
          <w:rFonts w:hint="eastAsia" w:eastAsia="宋体"/>
          <w:lang w:val="en-US" w:eastAsia="zh-CN"/>
        </w:rPr>
        <w:t>Discussion on SON/MDT Enhancements for NTN</w:t>
      </w:r>
    </w:p>
    <w:p>
      <w:pPr>
        <w:pStyle w:val="89"/>
        <w:rPr>
          <w:rFonts w:hint="default" w:eastAsia="宋体"/>
          <w:lang w:val="en-US" w:eastAsia="zh-CN"/>
        </w:rPr>
      </w:pPr>
      <w:r>
        <w:t>Document for:</w:t>
      </w:r>
      <w:r>
        <w:tab/>
      </w:r>
      <w:r>
        <w:t>Discussion</w:t>
      </w:r>
    </w:p>
    <w:p>
      <w:pPr>
        <w:pStyle w:val="2"/>
        <w:bidi w:val="0"/>
      </w:pPr>
      <w:r>
        <w:rPr>
          <w:rFonts w:hint="eastAsia" w:eastAsia="宋体"/>
          <w:lang w:val="en-US" w:eastAsia="zh-CN"/>
        </w:rPr>
        <w:t xml:space="preserve">1  </w:t>
      </w:r>
      <w:r>
        <w:t>Introduction</w:t>
      </w:r>
    </w:p>
    <w:p>
      <w:pPr>
        <w:pStyle w:val="79"/>
        <w:ind w:left="0" w:firstLine="0"/>
        <w:rPr>
          <w:rFonts w:hint="default" w:ascii="Arial" w:hAnsi="Arial" w:cs="Arial"/>
          <w:color w:val="000000"/>
          <w:sz w:val="20"/>
          <w:szCs w:val="18"/>
          <w:lang w:val="en-US" w:eastAsia="zh-CN"/>
        </w:rPr>
      </w:pPr>
      <w:r>
        <w:rPr>
          <w:rFonts w:hint="eastAsia" w:ascii="Arial" w:hAnsi="Arial" w:cs="Arial"/>
          <w:color w:val="000000"/>
          <w:sz w:val="20"/>
          <w:szCs w:val="18"/>
          <w:lang w:val="en-US" w:eastAsia="zh-CN"/>
        </w:rPr>
        <w:t>In last meeting, the discussion on SON/MDT enhancements for NTN was initiated and some initial agreement was reached as below</w:t>
      </w:r>
      <w:r>
        <w:rPr>
          <w:rFonts w:hint="default" w:ascii="Arial" w:hAnsi="Arial" w:cs="Arial"/>
          <w:color w:val="000000"/>
          <w:sz w:val="20"/>
          <w:szCs w:val="18"/>
          <w:lang w:val="en-US" w:eastAsia="zh-CN"/>
        </w:rPr>
        <w: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27"/>
              <w:spacing w:after="180"/>
              <w:rPr>
                <w:rFonts w:eastAsia="MS Mincho" w:cs="Calibri"/>
                <w:i/>
                <w:iCs/>
                <w:color w:val="00B050"/>
                <w:sz w:val="20"/>
                <w:szCs w:val="20"/>
              </w:rPr>
            </w:pPr>
            <w:r>
              <w:rPr>
                <w:rFonts w:eastAsia="MS Mincho" w:cs="Calibri"/>
                <w:i/>
                <w:iCs/>
                <w:color w:val="00B050"/>
                <w:sz w:val="20"/>
                <w:szCs w:val="20"/>
              </w:rPr>
              <w:t xml:space="preserve">Logged </w:t>
            </w:r>
            <w:r>
              <w:rPr>
                <w:rFonts w:hint="eastAsia" w:eastAsia="MS Mincho" w:cs="Calibri"/>
                <w:i/>
                <w:iCs/>
                <w:color w:val="00B050"/>
                <w:sz w:val="20"/>
                <w:szCs w:val="20"/>
              </w:rPr>
              <w:t>M</w:t>
            </w:r>
            <w:r>
              <w:rPr>
                <w:rFonts w:eastAsia="MS Mincho" w:cs="Calibri"/>
                <w:i/>
                <w:iCs/>
                <w:color w:val="00B050"/>
                <w:sz w:val="20"/>
                <w:szCs w:val="20"/>
              </w:rPr>
              <w:t>DT enhancement based on scenarios to be worked first, work on immediate MDT if time allows.</w:t>
            </w:r>
          </w:p>
          <w:p>
            <w:pPr>
              <w:pStyle w:val="127"/>
              <w:spacing w:after="180"/>
              <w:rPr>
                <w:rFonts w:hint="default" w:ascii="Arial" w:hAnsi="Arial" w:cs="Arial"/>
                <w:color w:val="000000"/>
                <w:sz w:val="20"/>
                <w:szCs w:val="18"/>
                <w:vertAlign w:val="baseline"/>
                <w:lang w:val="en-US" w:eastAsia="zh-CN"/>
              </w:rPr>
            </w:pPr>
            <w:r>
              <w:rPr>
                <w:rFonts w:eastAsia="MS Mincho" w:cs="Calibri"/>
                <w:i/>
                <w:iCs/>
                <w:color w:val="00B050"/>
                <w:sz w:val="20"/>
                <w:szCs w:val="20"/>
              </w:rPr>
              <w:t>MRO mechanisms for intra-NTN should be addressed based on failure scenarios first, work on near failure scenarios later.</w:t>
            </w:r>
          </w:p>
        </w:tc>
      </w:tr>
    </w:tbl>
    <w:p>
      <w:pPr>
        <w:pStyle w:val="79"/>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r>
        <w:rPr>
          <w:rFonts w:hint="eastAsia" w:ascii="Arial" w:hAnsi="Arial" w:cs="Arial"/>
          <w:color w:val="000000"/>
          <w:sz w:val="20"/>
          <w:szCs w:val="20"/>
          <w:lang w:val="en-US" w:eastAsia="zh-CN"/>
        </w:rPr>
        <w:t>In this contribution, we provide our further views on this topic, including the MRO for intra-NTN failure scenarios and the logged MDT enhancement based on scenarios.</w:t>
      </w:r>
    </w:p>
    <w:p>
      <w:pPr>
        <w:pStyle w:val="2"/>
        <w:bidi w:val="0"/>
        <w:rPr>
          <w:rFonts w:hint="eastAsia"/>
          <w:lang w:val="en-US" w:eastAsia="zh-CN"/>
        </w:rPr>
      </w:pPr>
      <w:r>
        <w:rPr>
          <w:rFonts w:hint="eastAsia"/>
          <w:lang w:val="en-US" w:eastAsia="zh-CN"/>
        </w:rPr>
        <w:t>2  Discussion</w:t>
      </w:r>
    </w:p>
    <w:p>
      <w:pPr>
        <w:pStyle w:val="3"/>
        <w:bidi w:val="0"/>
        <w:rPr>
          <w:rFonts w:hint="default"/>
          <w:lang w:val="en-US" w:eastAsia="zh-CN"/>
        </w:rPr>
      </w:pPr>
      <w:r>
        <w:rPr>
          <w:rFonts w:hint="eastAsia"/>
          <w:lang w:val="en-US" w:eastAsia="zh-CN"/>
        </w:rPr>
        <w:t>2.1  Involvement of IoT NTN</w:t>
      </w:r>
    </w:p>
    <w:p>
      <w:pPr>
        <w:rPr>
          <w:rFonts w:hint="eastAsia" w:ascii="Arial" w:hAnsi="Arial" w:cs="Arial"/>
          <w:sz w:val="20"/>
          <w:szCs w:val="20"/>
          <w:lang w:val="en-US" w:eastAsia="zh-CN"/>
        </w:rPr>
      </w:pPr>
      <w:r>
        <w:rPr>
          <w:rFonts w:hint="eastAsia" w:ascii="Arial" w:hAnsi="Arial" w:cs="Arial"/>
          <w:sz w:val="20"/>
          <w:szCs w:val="20"/>
          <w:lang w:val="en-US" w:eastAsia="zh-CN"/>
        </w:rPr>
        <w:t xml:space="preserve">In last meeting, there was some discussion on whether to consider IoT NTN in the SON/MDT enhancements for intra-NTN mobility. While, there is no consensus on this issue. In previous releases, the agreed mobility features of NR NTN can be reused in IoT NTN, e.g., mobility restriction and conditional handover. In addition, the IoT NTN applies for both NB-IoT UEs and LTE-M UEs, for the LTE-M UEs, the mobility feature is also supported. In this case, the MRO enhancement for NR NTN can be also reused for IoT NTN. Furthermore, as given in the WID[1], the LTE specifications have already been captured, and the IoT NTN should not be excluded. Therefore, the IoT NTN should be also considered in the SON/MDT enhancements for intra-NTN mobility. </w:t>
      </w:r>
    </w:p>
    <w:p>
      <w:pPr>
        <w:rPr>
          <w:rFonts w:hint="eastAsia" w:ascii="Arial" w:hAnsi="Arial" w:cs="Arial"/>
          <w:sz w:val="20"/>
          <w:szCs w:val="20"/>
          <w:lang w:val="en-US" w:eastAsia="zh-CN"/>
        </w:rPr>
      </w:pPr>
      <w:r>
        <w:rPr>
          <w:rFonts w:hint="eastAsia" w:ascii="Arial" w:hAnsi="Arial" w:cs="Arial"/>
          <w:sz w:val="20"/>
          <w:szCs w:val="20"/>
          <w:lang w:val="en-US" w:eastAsia="zh-CN"/>
        </w:rPr>
        <w:t>In this release, the SON/MDT enhancements for NR NTN could be discussed with high priority, and the corresponding progress of NR NTN can be reused in IoT NTN afterwards, just following the working manner of NR NTN and IoT NTN WIs in the previous releases.</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Proposal 1: In Rel-19, IoT NTN should be also considered in the SON/MDT enhancements for intra-NTN mobility, and the progress of NR NTN can be reused for IoT NTN.</w:t>
      </w:r>
    </w:p>
    <w:p>
      <w:pPr>
        <w:pStyle w:val="3"/>
        <w:bidi w:val="0"/>
        <w:rPr>
          <w:rFonts w:hint="default"/>
          <w:b/>
          <w:bCs/>
          <w:sz w:val="20"/>
          <w:szCs w:val="20"/>
          <w:lang w:val="en-US" w:eastAsia="zh-CN"/>
        </w:rPr>
      </w:pPr>
      <w:r>
        <w:rPr>
          <w:rFonts w:hint="eastAsia"/>
          <w:lang w:val="en-US" w:eastAsia="zh-CN"/>
        </w:rPr>
        <w:t>2.2  MRO for intra-NTN failure</w:t>
      </w:r>
    </w:p>
    <w:p>
      <w:pPr>
        <w:rPr>
          <w:rFonts w:hint="eastAsia" w:ascii="Arial" w:hAnsi="Arial" w:cs="Arial"/>
          <w:sz w:val="20"/>
          <w:szCs w:val="20"/>
          <w:lang w:val="en-US" w:eastAsia="zh-CN"/>
        </w:rPr>
      </w:pPr>
      <w:r>
        <w:rPr>
          <w:rFonts w:hint="eastAsia" w:ascii="Arial" w:hAnsi="Arial" w:cs="Arial"/>
          <w:sz w:val="20"/>
          <w:szCs w:val="20"/>
          <w:lang w:val="en-US" w:eastAsia="zh-CN"/>
        </w:rPr>
        <w:t>According to the description of conditional handover for NTN in TS38.300, both the RRM measurement-based trigger condition and the time-based/location-based trigger condition should be discussed. The basic scenarios for MRO can be classified into two cases:</w:t>
      </w:r>
    </w:p>
    <w:p>
      <w:pPr>
        <w:rPr>
          <w:rFonts w:hint="default" w:ascii="Arial" w:hAnsi="Arial" w:cs="Arial"/>
          <w:sz w:val="20"/>
          <w:szCs w:val="20"/>
          <w:lang w:val="en-US" w:eastAsia="zh-CN"/>
        </w:rPr>
      </w:pPr>
      <w:r>
        <w:rPr>
          <w:rFonts w:hint="eastAsia" w:ascii="Arial" w:hAnsi="Arial" w:cs="Arial"/>
          <w:sz w:val="20"/>
          <w:szCs w:val="20"/>
          <w:lang w:val="en-US" w:eastAsia="zh-CN"/>
        </w:rPr>
        <w:t>Case 1: Legacy Intra-NTN (conditional) handover</w:t>
      </w:r>
    </w:p>
    <w:p>
      <w:pPr>
        <w:rPr>
          <w:rFonts w:hint="default" w:ascii="Arial" w:hAnsi="Arial" w:cs="Arial"/>
          <w:sz w:val="20"/>
          <w:szCs w:val="20"/>
          <w:lang w:val="en-US" w:eastAsia="zh-CN"/>
        </w:rPr>
      </w:pPr>
      <w:r>
        <w:rPr>
          <w:rFonts w:hint="eastAsia" w:ascii="Arial" w:hAnsi="Arial" w:cs="Arial"/>
          <w:sz w:val="20"/>
          <w:szCs w:val="20"/>
          <w:lang w:val="en-US" w:eastAsia="zh-CN"/>
        </w:rPr>
        <w:t>Case 2: Time-based /Location-based conditional handover</w:t>
      </w:r>
    </w:p>
    <w:p>
      <w:pPr>
        <w:rPr>
          <w:rFonts w:hint="eastAsia" w:ascii="Arial" w:hAnsi="Arial" w:cs="Arial"/>
          <w:sz w:val="20"/>
          <w:szCs w:val="20"/>
          <w:lang w:val="en-US" w:eastAsia="zh-CN"/>
        </w:rPr>
      </w:pPr>
      <w:r>
        <w:rPr>
          <w:rFonts w:hint="eastAsia" w:ascii="Arial" w:hAnsi="Arial" w:cs="Arial"/>
          <w:sz w:val="20"/>
          <w:szCs w:val="20"/>
          <w:lang w:val="en-US" w:eastAsia="zh-CN"/>
        </w:rPr>
        <w:t xml:space="preserve">For Case 1, since the NTN communication is tolerant of time delay, the timers related to the RLF report could be redefined or extended. </w:t>
      </w:r>
    </w:p>
    <w:p>
      <w:pPr>
        <w:rPr>
          <w:rFonts w:hint="default" w:ascii="Arial" w:hAnsi="Arial" w:cs="Arial"/>
          <w:sz w:val="20"/>
          <w:szCs w:val="20"/>
          <w:lang w:val="en-US" w:eastAsia="zh-CN"/>
        </w:rPr>
      </w:pPr>
      <w:r>
        <w:rPr>
          <w:rFonts w:hint="eastAsia" w:ascii="Arial" w:hAnsi="Arial" w:cs="Arial"/>
          <w:sz w:val="20"/>
          <w:szCs w:val="20"/>
          <w:lang w:val="en-US" w:eastAsia="zh-CN"/>
        </w:rPr>
        <w:t>------------------------------------------------------------TS 38.331----------------------------------------------------------------------</w:t>
      </w:r>
    </w:p>
    <w:p>
      <w:r>
        <w:drawing>
          <wp:inline distT="0" distB="0" distL="114300" distR="114300">
            <wp:extent cx="6706235" cy="2265045"/>
            <wp:effectExtent l="0" t="0" r="1841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6706235" cy="2265045"/>
                    </a:xfrm>
                    <a:prstGeom prst="rect">
                      <a:avLst/>
                    </a:prstGeom>
                    <a:noFill/>
                    <a:ln>
                      <a:noFill/>
                    </a:ln>
                  </pic:spPr>
                </pic:pic>
              </a:graphicData>
            </a:graphic>
          </wp:inline>
        </w:drawing>
      </w:r>
    </w:p>
    <w:p>
      <w:r>
        <w:rPr>
          <w:rFonts w:hint="eastAsia" w:ascii="Arial" w:hAnsi="Arial" w:cs="Arial"/>
          <w:sz w:val="20"/>
          <w:szCs w:val="20"/>
          <w:lang w:val="en-US" w:eastAsia="zh-CN"/>
        </w:rPr>
        <w:t>------------------------------------------------------------TS 38.331----------------------------------------------------------------------</w:t>
      </w:r>
    </w:p>
    <w:p>
      <w:pPr>
        <w:rPr>
          <w:rFonts w:hint="eastAsia" w:ascii="Arial" w:hAnsi="Arial" w:cs="Arial"/>
          <w:sz w:val="20"/>
          <w:szCs w:val="20"/>
          <w:lang w:val="en-US" w:eastAsia="zh-CN"/>
        </w:rPr>
      </w:pPr>
      <w:r>
        <w:rPr>
          <w:rFonts w:hint="eastAsia" w:ascii="Arial" w:hAnsi="Arial" w:cs="Arial"/>
          <w:sz w:val="20"/>
          <w:szCs w:val="20"/>
          <w:lang w:val="en-US" w:eastAsia="zh-CN"/>
        </w:rPr>
        <w:t>Taking the T311 as an example, in current RRC specification, the maximum value of this timer is 30000ms, i.e., 30 seconds. For NTN scenario, the time delay may exceed 30 seconds, and this timer may be needed to extended to support the delay-tolerant services. In addition, the new cause value for the radio link failure could be introduced to match the NTN related scenarios.</w:t>
      </w:r>
    </w:p>
    <w:p>
      <w:pPr>
        <w:rPr>
          <w:rFonts w:hint="eastAsia" w:ascii="Arial" w:hAnsi="Arial" w:cs="Arial"/>
          <w:sz w:val="20"/>
          <w:szCs w:val="20"/>
          <w:lang w:val="en-US" w:eastAsia="zh-CN"/>
        </w:rPr>
      </w:pPr>
      <w:r>
        <w:rPr>
          <w:rFonts w:hint="eastAsia" w:ascii="Arial" w:hAnsi="Arial" w:cs="Arial"/>
          <w:sz w:val="20"/>
          <w:szCs w:val="20"/>
          <w:lang w:val="en-US" w:eastAsia="zh-CN"/>
        </w:rPr>
        <w:t>For Case 2, when the RLF occurs, the UE shall report the corresponding time-based/location-based configuration, including the T1 threshold and the duration, or the reference location and the distance threshold from reference location.</w:t>
      </w:r>
    </w:p>
    <w:p>
      <w:pPr>
        <w:rPr>
          <w:rFonts w:hint="default" w:ascii="Arial" w:hAnsi="Arial" w:cs="Arial"/>
          <w:sz w:val="20"/>
          <w:szCs w:val="20"/>
          <w:lang w:val="en-US" w:eastAsia="zh-CN"/>
        </w:rPr>
      </w:pPr>
      <w:r>
        <w:rPr>
          <w:rFonts w:hint="eastAsia" w:ascii="Arial" w:hAnsi="Arial" w:cs="Arial"/>
          <w:sz w:val="20"/>
          <w:szCs w:val="20"/>
          <w:lang w:val="en-US" w:eastAsia="zh-CN"/>
        </w:rPr>
        <w:t>------------------------------------------------------------TS 38.331----------------------------------------------------------------------</w:t>
      </w:r>
    </w:p>
    <w:p>
      <w:pPr>
        <w:jc w:val="center"/>
      </w:pPr>
      <w:r>
        <w:rPr>
          <w:rFonts w:hint="eastAsia" w:ascii="Arial" w:hAnsi="Arial" w:cs="Arial"/>
          <w:sz w:val="20"/>
          <w:szCs w:val="20"/>
          <w:lang w:val="en-US" w:eastAsia="zh-CN"/>
        </w:rPr>
        <w:t>.</w:t>
      </w:r>
      <w:r>
        <w:drawing>
          <wp:inline distT="0" distB="0" distL="114300" distR="114300">
            <wp:extent cx="4054475" cy="2160270"/>
            <wp:effectExtent l="0" t="0" r="3175" b="1143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4054475" cy="2160270"/>
                    </a:xfrm>
                    <a:prstGeom prst="rect">
                      <a:avLst/>
                    </a:prstGeom>
                    <a:noFill/>
                    <a:ln>
                      <a:noFill/>
                    </a:ln>
                  </pic:spPr>
                </pic:pic>
              </a:graphicData>
            </a:graphic>
          </wp:inline>
        </w:drawing>
      </w:r>
    </w:p>
    <w:p>
      <w:pPr>
        <w:rPr>
          <w:rFonts w:hint="default"/>
          <w:lang w:val="en-US" w:eastAsia="zh-CN"/>
        </w:rPr>
      </w:pPr>
      <w:r>
        <w:rPr>
          <w:rFonts w:hint="eastAsia" w:ascii="Arial" w:hAnsi="Arial" w:cs="Arial"/>
          <w:sz w:val="20"/>
          <w:szCs w:val="20"/>
          <w:lang w:val="en-US" w:eastAsia="zh-CN"/>
        </w:rPr>
        <w:t>------------------------------------------------------------TS 38.331----------------------------------------------------------------------</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2: In addition to the legacy handover, the MRO for time-based/location-based conditional handover should be discussed.</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p>
    <w:p>
      <w:pPr>
        <w:rPr>
          <w:rFonts w:hint="default" w:ascii="Arial" w:hAnsi="Arial" w:cs="Arial"/>
          <w:sz w:val="20"/>
          <w:szCs w:val="20"/>
          <w:lang w:val="en-US" w:eastAsia="zh-CN"/>
        </w:rPr>
      </w:pPr>
      <w:r>
        <w:rPr>
          <w:rFonts w:hint="eastAsia" w:ascii="Arial" w:hAnsi="Arial" w:cs="Arial"/>
          <w:sz w:val="20"/>
          <w:szCs w:val="20"/>
          <w:lang w:val="en-US" w:eastAsia="zh-CN"/>
        </w:rPr>
        <w:t>Considering the potential stage 3 impact, since the NG based handover between the NTN base stations should be applied in case of no X2/Xn interface between the NTN base stations, some existing MRO mechanisms only supported over X2/Xn should be also applied over S1/NG</w:t>
      </w:r>
      <w:r>
        <w:rPr>
          <w:rFonts w:hint="eastAsia" w:ascii="Arial" w:hAnsi="Arial" w:cs="Arial"/>
          <w:sz w:val="20"/>
          <w:szCs w:val="20"/>
          <w:highlight w:val="none"/>
          <w:lang w:val="en-US" w:eastAsia="zh-CN"/>
        </w:rPr>
        <w:t>, e.g., the missing part over S1/NG, the transfer of assistance information for RRC Re-establishment reporting without RLF report. And t</w:t>
      </w:r>
      <w:r>
        <w:rPr>
          <w:rFonts w:hint="eastAsia" w:ascii="Arial" w:hAnsi="Arial" w:cs="Arial"/>
          <w:sz w:val="20"/>
          <w:szCs w:val="20"/>
          <w:lang w:val="en-US" w:eastAsia="zh-CN"/>
        </w:rPr>
        <w:t>he details could be discussed later.</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ascii="Arial" w:hAnsi="Arial" w:cs="Arial"/>
          <w:b/>
          <w:bCs/>
          <w:sz w:val="20"/>
          <w:szCs w:val="20"/>
          <w:highlight w:val="none"/>
          <w:lang w:val="en-US" w:eastAsia="zh-CN"/>
        </w:rPr>
      </w:pPr>
      <w:r>
        <w:rPr>
          <w:rFonts w:hint="eastAsia"/>
          <w:b/>
          <w:bCs/>
          <w:sz w:val="20"/>
          <w:szCs w:val="20"/>
          <w:lang w:val="en-US" w:eastAsia="zh-CN"/>
        </w:rPr>
        <w:t xml:space="preserve">Proposal 3: RAN3 shall apply the existing MRO feature over X2/Xn into S1/NG for intra-NTN mobility, e.g., </w:t>
      </w:r>
      <w:r>
        <w:rPr>
          <w:rFonts w:hint="eastAsia" w:ascii="Arial" w:hAnsi="Arial" w:cs="Arial"/>
          <w:b/>
          <w:bCs/>
          <w:sz w:val="20"/>
          <w:szCs w:val="20"/>
          <w:highlight w:val="none"/>
          <w:lang w:val="en-US" w:eastAsia="zh-CN"/>
        </w:rPr>
        <w:t xml:space="preserve">the </w:t>
      </w:r>
      <w:r>
        <w:rPr>
          <w:rFonts w:hint="eastAsia" w:cs="Arial"/>
          <w:b/>
          <w:bCs/>
          <w:sz w:val="20"/>
          <w:szCs w:val="20"/>
          <w:highlight w:val="none"/>
          <w:lang w:val="en-US" w:eastAsia="zh-CN"/>
        </w:rPr>
        <w:t xml:space="preserve">transfer of the </w:t>
      </w:r>
      <w:r>
        <w:rPr>
          <w:rFonts w:hint="eastAsia" w:ascii="Arial" w:hAnsi="Arial" w:cs="Arial"/>
          <w:b/>
          <w:bCs/>
          <w:sz w:val="20"/>
          <w:szCs w:val="20"/>
          <w:highlight w:val="none"/>
          <w:lang w:val="en-US" w:eastAsia="zh-CN"/>
        </w:rPr>
        <w:t>assistance information for RRC Re-establishment reporting without RLF report.</w:t>
      </w:r>
    </w:p>
    <w:p>
      <w:pPr>
        <w:pStyle w:val="3"/>
        <w:bidi w:val="0"/>
        <w:rPr>
          <w:rFonts w:hint="default"/>
          <w:b/>
          <w:bCs/>
          <w:sz w:val="20"/>
          <w:szCs w:val="20"/>
          <w:lang w:val="en-US" w:eastAsia="zh-CN"/>
        </w:rPr>
      </w:pPr>
      <w:r>
        <w:rPr>
          <w:rFonts w:hint="eastAsia"/>
          <w:lang w:val="en-US" w:eastAsia="zh-CN"/>
        </w:rPr>
        <w:t>2.3  Logged MDT enhancement</w:t>
      </w:r>
    </w:p>
    <w:p>
      <w:pPr>
        <w:rPr>
          <w:rFonts w:hint="eastAsia" w:ascii="Arial" w:hAnsi="Arial" w:cs="Arial"/>
          <w:sz w:val="20"/>
          <w:szCs w:val="20"/>
          <w:lang w:val="en-US" w:eastAsia="zh-CN"/>
        </w:rPr>
      </w:pPr>
      <w:r>
        <w:rPr>
          <w:rFonts w:hint="eastAsia" w:ascii="Arial" w:hAnsi="Arial" w:cs="Arial"/>
          <w:sz w:val="20"/>
          <w:szCs w:val="20"/>
          <w:lang w:val="en-US" w:eastAsia="zh-CN"/>
        </w:rPr>
        <w:t>The NTN cell provides much larger coverage area than the TN cell and it may cover the area of multiple countries. For Logged MDT, the Area Scope/Configuration should be enhanced. As given in TR 38.821, the cell diameter of a NTN cell varies from 50km to 1000km.</w:t>
      </w:r>
    </w:p>
    <w:p>
      <w:pPr>
        <w:rPr>
          <w:rFonts w:hint="default" w:ascii="Arial" w:hAnsi="Arial" w:cs="Arial"/>
          <w:sz w:val="20"/>
          <w:szCs w:val="20"/>
          <w:lang w:val="en-US" w:eastAsia="zh-CN"/>
        </w:rPr>
      </w:pPr>
      <w:r>
        <w:rPr>
          <w:rFonts w:hint="eastAsia" w:ascii="Arial" w:hAnsi="Arial" w:cs="Arial"/>
          <w:sz w:val="20"/>
          <w:szCs w:val="20"/>
          <w:lang w:val="en-US" w:eastAsia="zh-CN"/>
        </w:rPr>
        <w:t>------------------------------------------------------------TR 38.821---------------------------------------------------------------------</w:t>
      </w:r>
    </w:p>
    <w:p>
      <w:pPr>
        <w:pStyle w:val="59"/>
      </w:pPr>
      <w:r>
        <w:t>Table 7.3.2.1.4-1: Time to HO for min/max cell diameter and varying UE speed</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58"/>
        <w:gridCol w:w="2430"/>
        <w:gridCol w:w="2394"/>
        <w:gridCol w:w="2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shd w:val="clear" w:color="auto" w:fill="F2F2F2"/>
            <w:noWrap w:val="0"/>
            <w:vAlign w:val="top"/>
          </w:tcPr>
          <w:p>
            <w:pPr>
              <w:pStyle w:val="55"/>
            </w:pPr>
            <w:r>
              <w:t xml:space="preserve">Cell </w:t>
            </w:r>
            <w:bookmarkStart w:id="3" w:name="OLE_LINK6"/>
            <w:r>
              <w:t xml:space="preserve">Diameter </w:t>
            </w:r>
            <w:bookmarkEnd w:id="3"/>
            <w:r>
              <w:t>Size (km)</w:t>
            </w:r>
          </w:p>
        </w:tc>
        <w:tc>
          <w:tcPr>
            <w:tcW w:w="2430" w:type="dxa"/>
            <w:shd w:val="clear" w:color="auto" w:fill="F2F2F2"/>
            <w:noWrap w:val="0"/>
            <w:vAlign w:val="top"/>
          </w:tcPr>
          <w:p>
            <w:pPr>
              <w:pStyle w:val="55"/>
            </w:pPr>
            <w:r>
              <w:t>UE Speed (km/hr)</w:t>
            </w:r>
          </w:p>
        </w:tc>
        <w:tc>
          <w:tcPr>
            <w:tcW w:w="2394" w:type="dxa"/>
            <w:shd w:val="clear" w:color="auto" w:fill="F2F2F2"/>
            <w:noWrap w:val="0"/>
            <w:vAlign w:val="top"/>
          </w:tcPr>
          <w:p>
            <w:pPr>
              <w:pStyle w:val="55"/>
            </w:pPr>
            <w:r>
              <w:t>Satellite Speed (km/s)</w:t>
            </w:r>
          </w:p>
        </w:tc>
        <w:tc>
          <w:tcPr>
            <w:tcW w:w="2394" w:type="dxa"/>
            <w:shd w:val="clear" w:color="auto" w:fill="F2F2F2"/>
            <w:noWrap w:val="0"/>
            <w:vAlign w:val="top"/>
          </w:tcPr>
          <w:p>
            <w:pPr>
              <w:pStyle w:val="55"/>
            </w:pPr>
            <w:r>
              <w:t>Time to HO (s)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restart"/>
            <w:noWrap w:val="0"/>
            <w:vAlign w:val="center"/>
          </w:tcPr>
          <w:p>
            <w:pPr>
              <w:pStyle w:val="56"/>
            </w:pPr>
            <w:r>
              <w:t>50 (lower bound)</w:t>
            </w:r>
          </w:p>
        </w:tc>
        <w:tc>
          <w:tcPr>
            <w:tcW w:w="2430" w:type="dxa"/>
            <w:noWrap w:val="0"/>
            <w:vAlign w:val="top"/>
          </w:tcPr>
          <w:p>
            <w:pPr>
              <w:pStyle w:val="56"/>
            </w:pPr>
            <w:r>
              <w:t>+500</w:t>
            </w:r>
          </w:p>
        </w:tc>
        <w:tc>
          <w:tcPr>
            <w:tcW w:w="2394" w:type="dxa"/>
            <w:vMerge w:val="restart"/>
            <w:noWrap w:val="0"/>
            <w:vAlign w:val="center"/>
          </w:tcPr>
          <w:p>
            <w:pPr>
              <w:pStyle w:val="56"/>
            </w:pPr>
            <w:r>
              <w:t>7.56 (NOTE 1)</w:t>
            </w:r>
          </w:p>
        </w:tc>
        <w:tc>
          <w:tcPr>
            <w:tcW w:w="2394" w:type="dxa"/>
            <w:noWrap w:val="0"/>
            <w:vAlign w:val="top"/>
          </w:tcPr>
          <w:p>
            <w:pPr>
              <w:pStyle w:val="56"/>
            </w:pPr>
            <w:r>
              <w:t>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continue"/>
            <w:noWrap w:val="0"/>
            <w:vAlign w:val="center"/>
          </w:tcPr>
          <w:p>
            <w:pPr>
              <w:pStyle w:val="56"/>
            </w:pPr>
          </w:p>
        </w:tc>
        <w:tc>
          <w:tcPr>
            <w:tcW w:w="2430" w:type="dxa"/>
            <w:noWrap w:val="0"/>
            <w:vAlign w:val="top"/>
          </w:tcPr>
          <w:p>
            <w:pPr>
              <w:pStyle w:val="56"/>
            </w:pPr>
            <w:r>
              <w:t>-500</w:t>
            </w:r>
          </w:p>
        </w:tc>
        <w:tc>
          <w:tcPr>
            <w:tcW w:w="2394" w:type="dxa"/>
            <w:vMerge w:val="continue"/>
            <w:noWrap w:val="0"/>
            <w:vAlign w:val="top"/>
          </w:tcPr>
          <w:p>
            <w:pPr>
              <w:pStyle w:val="56"/>
            </w:pPr>
          </w:p>
        </w:tc>
        <w:tc>
          <w:tcPr>
            <w:tcW w:w="2394" w:type="dxa"/>
            <w:noWrap w:val="0"/>
            <w:vAlign w:val="top"/>
          </w:tcPr>
          <w:p>
            <w:pPr>
              <w:pStyle w:val="56"/>
            </w:pPr>
            <w:r>
              <w:t>6.74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continue"/>
            <w:noWrap w:val="0"/>
            <w:vAlign w:val="center"/>
          </w:tcPr>
          <w:p>
            <w:pPr>
              <w:pStyle w:val="56"/>
            </w:pPr>
          </w:p>
        </w:tc>
        <w:tc>
          <w:tcPr>
            <w:tcW w:w="2430" w:type="dxa"/>
            <w:noWrap w:val="0"/>
            <w:vAlign w:val="top"/>
          </w:tcPr>
          <w:p>
            <w:pPr>
              <w:pStyle w:val="56"/>
            </w:pPr>
            <w:r>
              <w:t>+1200</w:t>
            </w:r>
          </w:p>
        </w:tc>
        <w:tc>
          <w:tcPr>
            <w:tcW w:w="2394" w:type="dxa"/>
            <w:vMerge w:val="continue"/>
            <w:noWrap w:val="0"/>
            <w:vAlign w:val="top"/>
          </w:tcPr>
          <w:p>
            <w:pPr>
              <w:pStyle w:val="56"/>
            </w:pPr>
          </w:p>
        </w:tc>
        <w:tc>
          <w:tcPr>
            <w:tcW w:w="2394" w:type="dxa"/>
            <w:noWrap w:val="0"/>
            <w:vAlign w:val="top"/>
          </w:tcPr>
          <w:p>
            <w:pPr>
              <w:pStyle w:val="56"/>
            </w:pPr>
            <w:r>
              <w:t>6.33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continue"/>
            <w:noWrap w:val="0"/>
            <w:vAlign w:val="center"/>
          </w:tcPr>
          <w:p>
            <w:pPr>
              <w:pStyle w:val="56"/>
            </w:pPr>
          </w:p>
        </w:tc>
        <w:tc>
          <w:tcPr>
            <w:tcW w:w="2430" w:type="dxa"/>
            <w:noWrap w:val="0"/>
            <w:vAlign w:val="top"/>
          </w:tcPr>
          <w:p>
            <w:pPr>
              <w:pStyle w:val="56"/>
            </w:pPr>
            <w:r>
              <w:t>- 1200</w:t>
            </w:r>
          </w:p>
        </w:tc>
        <w:tc>
          <w:tcPr>
            <w:tcW w:w="2394" w:type="dxa"/>
            <w:vMerge w:val="continue"/>
            <w:noWrap w:val="0"/>
            <w:vAlign w:val="top"/>
          </w:tcPr>
          <w:p>
            <w:pPr>
              <w:pStyle w:val="56"/>
            </w:pPr>
          </w:p>
        </w:tc>
        <w:tc>
          <w:tcPr>
            <w:tcW w:w="2394" w:type="dxa"/>
            <w:noWrap w:val="0"/>
            <w:vAlign w:val="top"/>
          </w:tcPr>
          <w:p>
            <w:pPr>
              <w:pStyle w:val="56"/>
            </w:pPr>
            <w:r>
              <w:t>6.92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continue"/>
            <w:noWrap w:val="0"/>
            <w:vAlign w:val="center"/>
          </w:tcPr>
          <w:p>
            <w:pPr>
              <w:pStyle w:val="56"/>
            </w:pPr>
          </w:p>
        </w:tc>
        <w:tc>
          <w:tcPr>
            <w:tcW w:w="2430" w:type="dxa"/>
            <w:noWrap w:val="0"/>
            <w:vAlign w:val="top"/>
          </w:tcPr>
          <w:p>
            <w:pPr>
              <w:pStyle w:val="56"/>
            </w:pPr>
            <w:r>
              <w:t>Neglected</w:t>
            </w:r>
          </w:p>
        </w:tc>
        <w:tc>
          <w:tcPr>
            <w:tcW w:w="2394" w:type="dxa"/>
            <w:vMerge w:val="continue"/>
            <w:noWrap w:val="0"/>
            <w:vAlign w:val="top"/>
          </w:tcPr>
          <w:p>
            <w:pPr>
              <w:pStyle w:val="56"/>
            </w:pPr>
          </w:p>
        </w:tc>
        <w:tc>
          <w:tcPr>
            <w:tcW w:w="2394" w:type="dxa"/>
            <w:noWrap w:val="0"/>
            <w:vAlign w:val="top"/>
          </w:tcPr>
          <w:p>
            <w:pPr>
              <w:pStyle w:val="56"/>
            </w:pPr>
            <w:r>
              <w:t>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restart"/>
            <w:noWrap w:val="0"/>
            <w:vAlign w:val="center"/>
          </w:tcPr>
          <w:p>
            <w:pPr>
              <w:pStyle w:val="56"/>
            </w:pPr>
            <w:r>
              <w:t>1000 (upper bound)</w:t>
            </w:r>
          </w:p>
        </w:tc>
        <w:tc>
          <w:tcPr>
            <w:tcW w:w="2430" w:type="dxa"/>
            <w:noWrap w:val="0"/>
            <w:vAlign w:val="top"/>
          </w:tcPr>
          <w:p>
            <w:pPr>
              <w:pStyle w:val="56"/>
            </w:pPr>
            <w:r>
              <w:t>+500</w:t>
            </w:r>
          </w:p>
        </w:tc>
        <w:tc>
          <w:tcPr>
            <w:tcW w:w="2394" w:type="dxa"/>
            <w:vMerge w:val="continue"/>
            <w:noWrap w:val="0"/>
            <w:vAlign w:val="top"/>
          </w:tcPr>
          <w:p>
            <w:pPr>
              <w:pStyle w:val="56"/>
            </w:pPr>
          </w:p>
        </w:tc>
        <w:tc>
          <w:tcPr>
            <w:tcW w:w="2394" w:type="dxa"/>
            <w:noWrap w:val="0"/>
            <w:vAlign w:val="top"/>
          </w:tcPr>
          <w:p>
            <w:pPr>
              <w:pStyle w:val="56"/>
            </w:pPr>
            <w:r>
              <w:t>129.89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continue"/>
            <w:noWrap w:val="0"/>
            <w:vAlign w:val="top"/>
          </w:tcPr>
          <w:p>
            <w:pPr>
              <w:pStyle w:val="56"/>
            </w:pPr>
          </w:p>
        </w:tc>
        <w:tc>
          <w:tcPr>
            <w:tcW w:w="2430" w:type="dxa"/>
            <w:noWrap w:val="0"/>
            <w:vAlign w:val="top"/>
          </w:tcPr>
          <w:p>
            <w:pPr>
              <w:pStyle w:val="56"/>
            </w:pPr>
            <w:r>
              <w:t>-500</w:t>
            </w:r>
          </w:p>
        </w:tc>
        <w:tc>
          <w:tcPr>
            <w:tcW w:w="2394" w:type="dxa"/>
            <w:vMerge w:val="continue"/>
            <w:noWrap w:val="0"/>
            <w:vAlign w:val="top"/>
          </w:tcPr>
          <w:p>
            <w:pPr>
              <w:pStyle w:val="56"/>
            </w:pPr>
          </w:p>
        </w:tc>
        <w:tc>
          <w:tcPr>
            <w:tcW w:w="2394" w:type="dxa"/>
            <w:noWrap w:val="0"/>
            <w:vAlign w:val="top"/>
          </w:tcPr>
          <w:p>
            <w:pPr>
              <w:pStyle w:val="56"/>
            </w:pPr>
            <w:r>
              <w:t>134.75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continue"/>
            <w:noWrap w:val="0"/>
            <w:vAlign w:val="top"/>
          </w:tcPr>
          <w:p>
            <w:pPr>
              <w:pStyle w:val="56"/>
            </w:pPr>
          </w:p>
        </w:tc>
        <w:tc>
          <w:tcPr>
            <w:tcW w:w="2430" w:type="dxa"/>
            <w:noWrap w:val="0"/>
            <w:vAlign w:val="top"/>
          </w:tcPr>
          <w:p>
            <w:pPr>
              <w:pStyle w:val="56"/>
            </w:pPr>
            <w:r>
              <w:t>+1200</w:t>
            </w:r>
          </w:p>
        </w:tc>
        <w:tc>
          <w:tcPr>
            <w:tcW w:w="2394" w:type="dxa"/>
            <w:vMerge w:val="continue"/>
            <w:noWrap w:val="0"/>
            <w:vAlign w:val="top"/>
          </w:tcPr>
          <w:p>
            <w:pPr>
              <w:pStyle w:val="56"/>
            </w:pPr>
          </w:p>
        </w:tc>
        <w:tc>
          <w:tcPr>
            <w:tcW w:w="2394" w:type="dxa"/>
            <w:noWrap w:val="0"/>
            <w:vAlign w:val="top"/>
          </w:tcPr>
          <w:p>
            <w:pPr>
              <w:pStyle w:val="56"/>
            </w:pPr>
            <w:r>
              <w:t>126.69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continue"/>
            <w:noWrap w:val="0"/>
            <w:vAlign w:val="top"/>
          </w:tcPr>
          <w:p>
            <w:pPr>
              <w:pStyle w:val="56"/>
            </w:pPr>
          </w:p>
        </w:tc>
        <w:tc>
          <w:tcPr>
            <w:tcW w:w="2430" w:type="dxa"/>
            <w:noWrap w:val="0"/>
            <w:vAlign w:val="top"/>
          </w:tcPr>
          <w:p>
            <w:pPr>
              <w:pStyle w:val="56"/>
            </w:pPr>
            <w:r>
              <w:t>- 1200</w:t>
            </w:r>
          </w:p>
        </w:tc>
        <w:tc>
          <w:tcPr>
            <w:tcW w:w="2394" w:type="dxa"/>
            <w:vMerge w:val="continue"/>
            <w:noWrap w:val="0"/>
            <w:vAlign w:val="top"/>
          </w:tcPr>
          <w:p>
            <w:pPr>
              <w:pStyle w:val="56"/>
            </w:pPr>
          </w:p>
        </w:tc>
        <w:tc>
          <w:tcPr>
            <w:tcW w:w="2394" w:type="dxa"/>
            <w:noWrap w:val="0"/>
            <w:vAlign w:val="top"/>
          </w:tcPr>
          <w:p>
            <w:pPr>
              <w:pStyle w:val="56"/>
            </w:pPr>
            <w:r>
              <w:t>138.38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continue"/>
            <w:noWrap w:val="0"/>
            <w:vAlign w:val="top"/>
          </w:tcPr>
          <w:p>
            <w:pPr>
              <w:pStyle w:val="56"/>
            </w:pPr>
          </w:p>
        </w:tc>
        <w:tc>
          <w:tcPr>
            <w:tcW w:w="2430" w:type="dxa"/>
            <w:noWrap w:val="0"/>
            <w:vAlign w:val="top"/>
          </w:tcPr>
          <w:p>
            <w:pPr>
              <w:pStyle w:val="56"/>
            </w:pPr>
            <w:r>
              <w:t>Neglected</w:t>
            </w:r>
          </w:p>
        </w:tc>
        <w:tc>
          <w:tcPr>
            <w:tcW w:w="2394" w:type="dxa"/>
            <w:vMerge w:val="continue"/>
            <w:noWrap w:val="0"/>
            <w:vAlign w:val="top"/>
          </w:tcPr>
          <w:p>
            <w:pPr>
              <w:pStyle w:val="56"/>
            </w:pPr>
          </w:p>
        </w:tc>
        <w:tc>
          <w:tcPr>
            <w:tcW w:w="2394" w:type="dxa"/>
            <w:noWrap w:val="0"/>
            <w:vAlign w:val="top"/>
          </w:tcPr>
          <w:p>
            <w:pPr>
              <w:pStyle w:val="56"/>
            </w:pPr>
            <w:r>
              <w:t>132.28</w:t>
            </w:r>
          </w:p>
        </w:tc>
      </w:tr>
    </w:tbl>
    <w:p>
      <w:pPr>
        <w:rPr>
          <w:rFonts w:hint="default" w:ascii="Arial" w:hAnsi="Arial" w:cs="Arial"/>
          <w:sz w:val="20"/>
          <w:szCs w:val="20"/>
          <w:lang w:val="en-US" w:eastAsia="zh-CN"/>
        </w:rPr>
      </w:pPr>
      <w:r>
        <w:rPr>
          <w:rFonts w:hint="eastAsia" w:ascii="Arial" w:hAnsi="Arial" w:cs="Arial"/>
          <w:sz w:val="20"/>
          <w:szCs w:val="20"/>
          <w:lang w:val="en-US" w:eastAsia="zh-CN"/>
        </w:rPr>
        <w:t>------------------------------------------------------------TR 38.821---------------------------------------------------------------------</w:t>
      </w:r>
    </w:p>
    <w:p>
      <w:pPr>
        <w:rPr>
          <w:rFonts w:hint="default" w:ascii="Arial" w:hAnsi="Arial" w:cs="Arial"/>
          <w:sz w:val="20"/>
          <w:szCs w:val="20"/>
          <w:lang w:val="en-US" w:eastAsia="zh-CN"/>
        </w:rPr>
      </w:pPr>
      <w:r>
        <w:rPr>
          <w:rFonts w:hint="eastAsia" w:ascii="Arial" w:hAnsi="Arial" w:cs="Arial"/>
          <w:sz w:val="20"/>
          <w:szCs w:val="20"/>
          <w:lang w:val="en-US" w:eastAsia="zh-CN"/>
        </w:rPr>
        <w:t>Considering a NTN cell with 500km diameter which covers two different countries (e.g. country A and country B). The Operator in country A may only want to know the NTN specific coverage status in country A instead of the whole NTN cell. In addition, it could be not legal for the Operator in country A to obtain the NTN specific coverage status in country B. Therefore, the existing Area Scope over network interfaces or Area Configuration over Uu is not sufficient, and the new granularity of Area Scope or Area Configuration should be introduced for logged MDT for NTN.</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Proposal 4: New granularity of Area Scope/Configuration should be introduced for logged MDT enhancement for NTN.</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cs="Arial"/>
          <w:sz w:val="20"/>
          <w:szCs w:val="20"/>
          <w:highlight w:val="none"/>
          <w:lang w:val="en-US" w:eastAsia="zh-CN"/>
        </w:rPr>
      </w:pPr>
      <w:r>
        <w:rPr>
          <w:rFonts w:hint="eastAsia" w:cs="Arial"/>
          <w:sz w:val="20"/>
          <w:szCs w:val="20"/>
          <w:highlight w:val="none"/>
          <w:lang w:val="en-US" w:eastAsia="zh-CN"/>
        </w:rPr>
        <w:t>Since whether to introduce the above enhancement of RLF report and logged MDT for NTN also depends on RAN2 and the corresponding TU in RAN2 is limited, it could be beneficial to inform RAN2 of RAN3</w:t>
      </w:r>
      <w:r>
        <w:rPr>
          <w:rFonts w:hint="default" w:cs="Arial"/>
          <w:sz w:val="20"/>
          <w:szCs w:val="20"/>
          <w:highlight w:val="none"/>
          <w:lang w:val="en-US" w:eastAsia="zh-CN"/>
        </w:rPr>
        <w:t>’</w:t>
      </w:r>
      <w:r>
        <w:rPr>
          <w:rFonts w:hint="eastAsia" w:cs="Arial"/>
          <w:sz w:val="20"/>
          <w:szCs w:val="20"/>
          <w:highlight w:val="none"/>
          <w:lang w:val="en-US" w:eastAsia="zh-CN"/>
        </w:rPr>
        <w:t>s understanding on the SON/MDT enhancements for NTN.</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cs="Arial"/>
          <w:sz w:val="20"/>
          <w:szCs w:val="20"/>
          <w:highlight w:val="none"/>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5: An LS on the enhancement of RLF report and logged MDT for NTN should be sent to RAN2.</w:t>
      </w:r>
    </w:p>
    <w:p>
      <w:pPr>
        <w:pStyle w:val="2"/>
        <w:ind w:left="0" w:leftChars="0" w:firstLine="0" w:firstLineChars="0"/>
        <w:rPr>
          <w:lang w:val="en-US"/>
        </w:rPr>
      </w:pPr>
      <w:r>
        <w:rPr>
          <w:rFonts w:hint="eastAsia"/>
          <w:lang w:val="en-US" w:eastAsia="zh-CN"/>
        </w:rPr>
        <w:t>3  Conclusion</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Proposal 1: In Rel-19, IoT NTN should be also considered in the SON/MDT enhancements for intra-NTN mobility, and the progress of NR NTN can be reused for IoT NTN.</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ascii="Arial" w:hAnsi="Arial" w:eastAsia="宋体" w:cs="Arial"/>
          <w:i w:val="0"/>
          <w:iCs w:val="0"/>
          <w:caps w:val="0"/>
          <w:color w:val="000000"/>
          <w:spacing w:val="0"/>
          <w:sz w:val="20"/>
          <w:szCs w:val="20"/>
          <w:shd w:val="clear" w:fill="FFFFFF"/>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2: In addition to the legacy handover, the MRO for time-based/location-based conditional handover should be discussed.</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1"/>
          <w:szCs w:val="21"/>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ascii="Arial" w:hAnsi="Arial" w:cs="Arial"/>
          <w:b/>
          <w:bCs/>
          <w:sz w:val="20"/>
          <w:szCs w:val="20"/>
          <w:highlight w:val="none"/>
          <w:lang w:val="en-US" w:eastAsia="zh-CN"/>
        </w:rPr>
      </w:pPr>
      <w:r>
        <w:rPr>
          <w:rFonts w:hint="eastAsia"/>
          <w:b/>
          <w:bCs/>
          <w:sz w:val="20"/>
          <w:szCs w:val="20"/>
          <w:lang w:val="en-US" w:eastAsia="zh-CN"/>
        </w:rPr>
        <w:t xml:space="preserve">Proposal 3: RAN3 shall apply the existing MRO feature over X2/Xn into S1/NG for intra-NTN mobility, e.g., </w:t>
      </w:r>
      <w:r>
        <w:rPr>
          <w:rFonts w:hint="eastAsia" w:ascii="Arial" w:hAnsi="Arial" w:cs="Arial"/>
          <w:b/>
          <w:bCs/>
          <w:sz w:val="20"/>
          <w:szCs w:val="20"/>
          <w:highlight w:val="none"/>
          <w:lang w:val="en-US" w:eastAsia="zh-CN"/>
        </w:rPr>
        <w:t xml:space="preserve">the </w:t>
      </w:r>
      <w:r>
        <w:rPr>
          <w:rFonts w:hint="eastAsia" w:cs="Arial"/>
          <w:b/>
          <w:bCs/>
          <w:sz w:val="20"/>
          <w:szCs w:val="20"/>
          <w:highlight w:val="none"/>
          <w:lang w:val="en-US" w:eastAsia="zh-CN"/>
        </w:rPr>
        <w:t xml:space="preserve">transfer of the </w:t>
      </w:r>
      <w:r>
        <w:rPr>
          <w:rFonts w:hint="eastAsia" w:ascii="Arial" w:hAnsi="Arial" w:cs="Arial"/>
          <w:b/>
          <w:bCs/>
          <w:sz w:val="20"/>
          <w:szCs w:val="20"/>
          <w:highlight w:val="none"/>
          <w:lang w:val="en-US" w:eastAsia="zh-CN"/>
        </w:rPr>
        <w:t>assistance information for RRC Re-establishment reporting without RLF report.</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1"/>
          <w:szCs w:val="21"/>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Proposal 4: New granularity of Area Scope/Configuration should be introduced for logged MDT enhancement for NTN.</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5: An LS on the enhancement of RLF report and logged MDT for NTN should be sent to RAN2.</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p>
    <w:p>
      <w:pPr>
        <w:pStyle w:val="85"/>
        <w:spacing w:after="0"/>
        <w:rPr>
          <w:rFonts w:hint="eastAsia"/>
          <w:b w:val="0"/>
          <w:bCs w:val="0"/>
          <w:sz w:val="21"/>
          <w:szCs w:val="21"/>
          <w:lang w:val="en-US" w:eastAsia="zh-CN"/>
        </w:rPr>
      </w:pPr>
      <w:r>
        <w:rPr>
          <w:rFonts w:hint="eastAsia"/>
          <w:b w:val="0"/>
          <w:bCs w:val="0"/>
          <w:sz w:val="21"/>
          <w:szCs w:val="21"/>
          <w:lang w:val="en-US" w:eastAsia="zh-CN"/>
        </w:rPr>
        <w:t>The corresponding LS is given in the Annex.</w:t>
      </w:r>
    </w:p>
    <w:p>
      <w:pPr>
        <w:pStyle w:val="2"/>
        <w:rPr>
          <w:rFonts w:cs="Arial"/>
          <w:lang w:val="en-US" w:eastAsia="zh-CN"/>
        </w:rPr>
      </w:pPr>
      <w:r>
        <w:rPr>
          <w:rFonts w:cs="Arial"/>
          <w:lang w:val="en-US"/>
        </w:rPr>
        <w:t>References</w:t>
      </w:r>
    </w:p>
    <w:p>
      <w:pPr>
        <w:numPr>
          <w:ilvl w:val="0"/>
          <w:numId w:val="1"/>
        </w:numPr>
        <w:ind w:left="284" w:hanging="284" w:hangingChars="142"/>
        <w:rPr>
          <w:rFonts w:hint="default" w:ascii="Arial" w:hAnsi="Arial" w:cs="Arial"/>
          <w:szCs w:val="15"/>
          <w:lang w:val="en-US" w:eastAsia="zh-CN"/>
        </w:rPr>
      </w:pPr>
      <w:bookmarkStart w:id="4" w:name="OLE_LINK1"/>
      <w:r>
        <w:rPr>
          <w:rFonts w:hint="eastAsia" w:ascii="Arial" w:hAnsi="Arial" w:cs="Arial"/>
          <w:szCs w:val="15"/>
          <w:lang w:val="en-US" w:eastAsia="zh-CN"/>
        </w:rPr>
        <w:t xml:space="preserve">RP-234038, New WID: Data collection for SON (Self-Organising Networks)/MDT (Minimization of Drive Tests) in NR standalone and MR-DC (Multi-Radio Dual Connectivity) Phase 4, </w:t>
      </w:r>
      <w:bookmarkEnd w:id="4"/>
      <w:r>
        <w:rPr>
          <w:rFonts w:hint="eastAsia" w:ascii="Arial" w:hAnsi="Arial" w:cs="Arial"/>
          <w:szCs w:val="15"/>
          <w:lang w:val="en-US" w:eastAsia="zh-CN"/>
        </w:rPr>
        <w:t>CMCC</w:t>
      </w:r>
    </w:p>
    <w:p>
      <w:pPr>
        <w:numPr>
          <w:ilvl w:val="0"/>
          <w:numId w:val="1"/>
        </w:numPr>
        <w:ind w:left="284" w:hanging="284" w:hangingChars="142"/>
        <w:rPr>
          <w:rFonts w:hint="default" w:ascii="Arial" w:hAnsi="Arial" w:cs="Arial"/>
          <w:szCs w:val="15"/>
          <w:lang w:val="en-US" w:eastAsia="zh-CN"/>
        </w:rPr>
      </w:pPr>
      <w:r>
        <w:rPr>
          <w:rFonts w:hint="eastAsia" w:ascii="Arial" w:hAnsi="Arial" w:cs="Arial"/>
          <w:szCs w:val="15"/>
          <w:lang w:val="en-US" w:eastAsia="zh-CN"/>
        </w:rPr>
        <w:t>TS 38.331 v18.0.0</w:t>
      </w:r>
    </w:p>
    <w:p>
      <w:pPr>
        <w:numPr>
          <w:ilvl w:val="0"/>
          <w:numId w:val="1"/>
        </w:numPr>
        <w:ind w:left="284" w:hanging="284" w:hangingChars="142"/>
        <w:rPr>
          <w:rFonts w:hint="default" w:ascii="Arial" w:hAnsi="Arial" w:cs="Arial"/>
          <w:szCs w:val="15"/>
          <w:lang w:val="en-US" w:eastAsia="zh-CN"/>
        </w:rPr>
      </w:pPr>
      <w:r>
        <w:rPr>
          <w:rFonts w:hint="eastAsia" w:ascii="Arial" w:hAnsi="Arial" w:cs="Arial"/>
          <w:szCs w:val="15"/>
          <w:lang w:val="en-US" w:eastAsia="zh-CN"/>
        </w:rPr>
        <w:t>TR 38.821 v16.1.0</w:t>
      </w:r>
    </w:p>
    <w:p>
      <w:pPr>
        <w:pStyle w:val="2"/>
        <w:rPr>
          <w:rFonts w:hint="eastAsia" w:eastAsia="宋体" w:cs="Arial"/>
          <w:lang w:val="en-US" w:eastAsia="zh-CN"/>
        </w:rPr>
      </w:pPr>
      <w:r>
        <w:rPr>
          <w:rFonts w:hint="eastAsia" w:eastAsia="宋体" w:cs="Arial"/>
          <w:lang w:val="en-US" w:eastAsia="zh-CN"/>
        </w:rPr>
        <w:t>Annex</w:t>
      </w:r>
    </w:p>
    <w:p>
      <w:pPr>
        <w:pStyle w:val="118"/>
        <w:rPr>
          <w:rFonts w:hint="default" w:eastAsia="宋体"/>
          <w:lang w:val="en-US" w:eastAsia="zh-CN"/>
        </w:rPr>
      </w:pPr>
      <w:r>
        <w:t>3GPP TSG-</w:t>
      </w:r>
      <w:r>
        <w:rPr>
          <w:szCs w:val="24"/>
        </w:rPr>
        <w:t>RAN WG3 Meeting #12</w:t>
      </w:r>
      <w:r>
        <w:rPr>
          <w:rFonts w:hint="eastAsia" w:eastAsia="宋体"/>
          <w:szCs w:val="24"/>
          <w:lang w:val="en-US" w:eastAsia="zh-CN"/>
        </w:rPr>
        <w:t>4</w:t>
      </w:r>
      <w:r>
        <w:tab/>
      </w:r>
      <w:r>
        <w:rPr>
          <w:lang w:eastAsia="ja-JP"/>
        </w:rPr>
        <w:t>R3-2</w:t>
      </w:r>
      <w:r>
        <w:rPr>
          <w:rFonts w:hint="eastAsia" w:eastAsia="宋体"/>
          <w:lang w:val="en-US" w:eastAsia="zh-CN"/>
        </w:rPr>
        <w:t>4xxxx</w:t>
      </w:r>
    </w:p>
    <w:p>
      <w:pPr>
        <w:pStyle w:val="118"/>
        <w:rPr>
          <w:rFonts w:hint="eastAsia" w:eastAsia="宋体"/>
          <w:lang w:eastAsia="zh-CN"/>
        </w:rPr>
      </w:pPr>
      <w:r>
        <w:rPr>
          <w:rFonts w:hint="eastAsia" w:eastAsia="宋体"/>
          <w:szCs w:val="24"/>
          <w:lang w:val="en-US" w:eastAsia="zh-CN"/>
        </w:rPr>
        <w:t>Fukuoka</w:t>
      </w:r>
      <w:r>
        <w:rPr>
          <w:szCs w:val="24"/>
        </w:rPr>
        <w:t xml:space="preserve">, </w:t>
      </w:r>
      <w:r>
        <w:rPr>
          <w:rFonts w:hint="eastAsia" w:eastAsia="宋体"/>
          <w:szCs w:val="24"/>
          <w:lang w:val="en-US" w:eastAsia="zh-CN"/>
        </w:rPr>
        <w:t>Japan</w:t>
      </w:r>
      <w:r>
        <w:rPr>
          <w:szCs w:val="24"/>
        </w:rPr>
        <w:t xml:space="preserve">, </w:t>
      </w:r>
      <w:r>
        <w:rPr>
          <w:rFonts w:hint="eastAsia" w:eastAsia="宋体"/>
          <w:lang w:val="en-US" w:eastAsia="zh-CN"/>
        </w:rPr>
        <w:t>20</w:t>
      </w:r>
      <w:r>
        <w:rPr>
          <w:rFonts w:hint="eastAsia" w:eastAsia="宋体"/>
          <w:vertAlign w:val="superscript"/>
          <w:lang w:val="en-US" w:eastAsia="zh-CN"/>
        </w:rPr>
        <w:t>th</w:t>
      </w:r>
      <w:r>
        <w:t xml:space="preserve"> – </w:t>
      </w:r>
      <w:r>
        <w:rPr>
          <w:rFonts w:hint="eastAsia" w:eastAsia="宋体"/>
          <w:lang w:val="en-US" w:eastAsia="zh-CN"/>
        </w:rPr>
        <w:t>24</w:t>
      </w:r>
      <w:r>
        <w:rPr>
          <w:vertAlign w:val="superscript"/>
        </w:rPr>
        <w:t>th</w:t>
      </w:r>
      <w:r>
        <w:t xml:space="preserve"> </w:t>
      </w:r>
      <w:r>
        <w:rPr>
          <w:rFonts w:hint="eastAsia" w:eastAsia="宋体"/>
          <w:lang w:val="en-US" w:eastAsia="zh-CN"/>
        </w:rPr>
        <w:t>May</w:t>
      </w:r>
      <w:r>
        <w:t xml:space="preserve"> 202</w:t>
      </w:r>
      <w:r>
        <w:rPr>
          <w:rFonts w:hint="eastAsia" w:eastAsia="宋体"/>
          <w:lang w:val="en-US" w:eastAsia="zh-CN"/>
        </w:rPr>
        <w:t>4</w:t>
      </w:r>
    </w:p>
    <w:p>
      <w:pPr>
        <w:pStyle w:val="34"/>
        <w:rPr>
          <w:rFonts w:cs="Arial"/>
          <w:bCs/>
          <w:sz w:val="24"/>
          <w:lang w:eastAsia="ja-JP"/>
        </w:rPr>
      </w:pPr>
    </w:p>
    <w:p>
      <w:pPr>
        <w:pStyle w:val="34"/>
        <w:rPr>
          <w:rFonts w:cs="Arial"/>
          <w:bCs/>
          <w:sz w:val="24"/>
          <w:lang w:eastAsia="ja-JP"/>
        </w:rPr>
      </w:pPr>
    </w:p>
    <w:p>
      <w:pPr>
        <w:spacing w:after="60"/>
        <w:ind w:left="1985" w:hanging="1985"/>
        <w:rPr>
          <w:rFonts w:hint="default" w:ascii="Arial" w:hAnsi="Arial" w:cs="Arial"/>
          <w:b/>
          <w:bCs/>
          <w:lang w:val="en-US"/>
        </w:rPr>
      </w:pPr>
      <w:r>
        <w:rPr>
          <w:rFonts w:ascii="Arial" w:hAnsi="Arial" w:cs="Arial"/>
          <w:b/>
        </w:rPr>
        <w:t>Title:</w:t>
      </w:r>
      <w:r>
        <w:rPr>
          <w:rFonts w:ascii="Arial" w:hAnsi="Arial" w:cs="Arial"/>
          <w:b/>
        </w:rPr>
        <w:tab/>
      </w:r>
      <w:r>
        <w:rPr>
          <w:rFonts w:hint="eastAsia" w:ascii="Arial" w:hAnsi="Arial" w:eastAsia="宋体" w:cs="Arial"/>
          <w:b/>
          <w:lang w:val="en-US" w:eastAsia="zh-CN"/>
        </w:rPr>
        <w:t xml:space="preserve">[Draft] </w:t>
      </w:r>
      <w:r>
        <w:rPr>
          <w:rFonts w:ascii="Arial" w:hAnsi="Arial" w:cs="Arial"/>
          <w:b/>
          <w:bCs/>
          <w:lang w:val="en-US"/>
        </w:rPr>
        <w:t xml:space="preserve">LS on </w:t>
      </w:r>
      <w:r>
        <w:rPr>
          <w:rFonts w:hint="eastAsia" w:ascii="Arial" w:hAnsi="Arial" w:cs="Arial"/>
          <w:b/>
          <w:bCs/>
          <w:lang w:val="en-US" w:eastAsia="zh-CN"/>
        </w:rPr>
        <w:t>SON/MDT enhancements for intra-NTN mobility</w:t>
      </w:r>
    </w:p>
    <w:p>
      <w:pPr>
        <w:spacing w:after="60"/>
        <w:ind w:left="1985" w:hanging="1985"/>
        <w:rPr>
          <w:rFonts w:hint="default" w:ascii="Arial" w:hAnsi="Arial" w:cs="Arial"/>
          <w:b/>
          <w:bCs/>
          <w:lang w:val="en-US" w:eastAsia="zh-CN"/>
        </w:rPr>
      </w:pPr>
      <w:r>
        <w:rPr>
          <w:rFonts w:hint="eastAsia" w:ascii="Arial" w:hAnsi="Arial" w:eastAsia="宋体" w:cs="Arial"/>
          <w:b/>
          <w:lang w:val="en-US" w:eastAsia="zh-CN"/>
        </w:rPr>
        <w:t>Response to</w:t>
      </w:r>
      <w:r>
        <w:rPr>
          <w:rFonts w:ascii="Arial" w:hAnsi="Arial" w:cs="Arial"/>
          <w:b/>
        </w:rPr>
        <w:t>:</w:t>
      </w:r>
      <w:r>
        <w:rPr>
          <w:rFonts w:ascii="Arial" w:hAnsi="Arial" w:cs="Arial"/>
          <w:b/>
        </w:rPr>
        <w:tab/>
      </w:r>
      <w:r>
        <w:rPr>
          <w:rFonts w:hint="eastAsia" w:ascii="Arial" w:hAnsi="Arial" w:cs="Arial"/>
          <w:b/>
          <w:bCs/>
          <w:lang w:val="en-US" w:eastAsia="zh-CN"/>
        </w:rPr>
        <w:t>N/A</w:t>
      </w:r>
    </w:p>
    <w:p>
      <w:pPr>
        <w:spacing w:after="60"/>
        <w:ind w:left="1985" w:hanging="1985"/>
        <w:rPr>
          <w:rFonts w:hint="eastAsia" w:ascii="Arial" w:hAnsi="Arial" w:eastAsia="宋体" w:cs="Arial"/>
          <w:b/>
          <w:bCs/>
          <w:lang w:val="en-US" w:eastAsia="zh-CN"/>
        </w:rPr>
      </w:pPr>
      <w:r>
        <w:rPr>
          <w:rFonts w:ascii="Arial" w:hAnsi="Arial" w:cs="Arial"/>
          <w:b/>
        </w:rPr>
        <w:t>Release:</w:t>
      </w:r>
      <w:r>
        <w:rPr>
          <w:rFonts w:ascii="Arial" w:hAnsi="Arial" w:cs="Arial"/>
          <w:bCs/>
        </w:rPr>
        <w:tab/>
      </w:r>
      <w:r>
        <w:rPr>
          <w:rFonts w:ascii="Arial" w:hAnsi="Arial" w:cs="Arial"/>
          <w:b/>
          <w:bCs/>
          <w:lang w:val="en-US"/>
        </w:rPr>
        <w:t>Rel-1</w:t>
      </w:r>
      <w:r>
        <w:rPr>
          <w:rFonts w:hint="eastAsia" w:ascii="Arial" w:hAnsi="Arial" w:eastAsia="宋体" w:cs="Arial"/>
          <w:b/>
          <w:bCs/>
          <w:lang w:val="en-US" w:eastAsia="zh-CN"/>
        </w:rPr>
        <w:t>9</w:t>
      </w:r>
    </w:p>
    <w:p>
      <w:pPr>
        <w:spacing w:after="60"/>
        <w:ind w:left="1985" w:hanging="1985"/>
        <w:rPr>
          <w:rFonts w:ascii="Arial" w:hAnsi="Arial" w:eastAsia="Times New Roman" w:cs="Arial"/>
          <w:b/>
        </w:rPr>
      </w:pPr>
      <w:r>
        <w:rPr>
          <w:rFonts w:ascii="Arial" w:hAnsi="Arial" w:eastAsia="Times New Roman" w:cs="Arial"/>
          <w:b/>
        </w:rPr>
        <w:t>Work Item:</w:t>
      </w:r>
      <w:r>
        <w:rPr>
          <w:rFonts w:ascii="Arial" w:hAnsi="Arial" w:eastAsia="Times New Roman" w:cs="Arial"/>
          <w:b/>
        </w:rPr>
        <w:tab/>
      </w:r>
      <w:r>
        <w:rPr>
          <w:rFonts w:ascii="Arial" w:hAnsi="Arial" w:eastAsia="Times New Roman" w:cs="Arial"/>
          <w:b/>
          <w:bCs/>
          <w:lang w:val="en-US" w:eastAsia="en-US"/>
        </w:rPr>
        <w:t>NR_ENDC_SON_MDT_Ph4-Core</w:t>
      </w:r>
    </w:p>
    <w:p>
      <w:pPr>
        <w:spacing w:after="60"/>
        <w:ind w:left="1985" w:hanging="1985"/>
        <w:rPr>
          <w:rFonts w:ascii="Arial" w:hAnsi="Arial" w:cs="Arial"/>
          <w:b/>
          <w:color w:val="000000"/>
        </w:rPr>
      </w:pPr>
    </w:p>
    <w:p>
      <w:pPr>
        <w:pStyle w:val="122"/>
        <w:rPr>
          <w:color w:val="000000"/>
          <w:lang w:val="en-US" w:eastAsia="zh-CN"/>
        </w:rPr>
      </w:pPr>
      <w:r>
        <w:rPr>
          <w:color w:val="000000"/>
        </w:rPr>
        <w:t>Source:</w:t>
      </w:r>
      <w:r>
        <w:rPr>
          <w:color w:val="000000"/>
        </w:rPr>
        <w:tab/>
      </w:r>
      <w:r>
        <w:rPr>
          <w:rFonts w:hint="eastAsia"/>
          <w:color w:val="000000"/>
          <w:lang w:val="en-US" w:eastAsia="zh-CN"/>
        </w:rPr>
        <w:t>ZTE</w:t>
      </w:r>
      <w:r>
        <w:rPr>
          <w:color w:val="000000"/>
          <w:lang w:val="en-US" w:eastAsia="zh-CN"/>
        </w:rPr>
        <w:t xml:space="preserve"> (to be RAN3)</w:t>
      </w:r>
    </w:p>
    <w:p>
      <w:pPr>
        <w:pStyle w:val="122"/>
        <w:rPr>
          <w:lang w:val="en-US" w:eastAsia="zh-CN"/>
        </w:rPr>
      </w:pPr>
      <w:r>
        <w:rPr>
          <w:color w:val="000000"/>
        </w:rPr>
        <w:t>To:</w:t>
      </w:r>
      <w:r>
        <w:rPr>
          <w:color w:val="000000"/>
        </w:rPr>
        <w:tab/>
      </w:r>
      <w:r>
        <w:rPr>
          <w:rFonts w:hint="eastAsia"/>
          <w:lang w:val="en-US" w:eastAsia="zh-CN"/>
        </w:rPr>
        <w:t>RAN2</w:t>
      </w:r>
    </w:p>
    <w:p>
      <w:pPr>
        <w:spacing w:after="60"/>
        <w:ind w:left="1985" w:hanging="1985"/>
        <w:rPr>
          <w:rFonts w:ascii="Arial" w:hAnsi="Arial" w:cs="Arial"/>
          <w:color w:val="000000"/>
        </w:rPr>
      </w:pPr>
      <w:r>
        <w:rPr>
          <w:rFonts w:ascii="Arial" w:hAnsi="Arial" w:cs="Arial"/>
          <w:b/>
          <w:color w:val="000000"/>
        </w:rPr>
        <w:t>Cc:</w:t>
      </w:r>
      <w:r>
        <w:rPr>
          <w:rFonts w:ascii="Arial" w:hAnsi="Arial" w:cs="Arial"/>
          <w:b/>
          <w:color w:val="000000"/>
        </w:rPr>
        <w:tab/>
      </w:r>
      <w:r>
        <w:rPr>
          <w:rFonts w:ascii="Arial" w:hAnsi="Arial" w:cs="Arial"/>
          <w:b/>
          <w:color w:val="000000"/>
        </w:rPr>
        <w:t>N/A</w:t>
      </w:r>
    </w:p>
    <w:p>
      <w:pPr>
        <w:pStyle w:val="122"/>
        <w:rPr>
          <w:color w:val="000000"/>
        </w:rPr>
      </w:pPr>
    </w:p>
    <w:p>
      <w:pPr>
        <w:spacing w:after="60"/>
        <w:ind w:left="1985" w:hanging="1985"/>
        <w:rPr>
          <w:rFonts w:ascii="Arial" w:hAnsi="Arial" w:cs="Arial"/>
          <w:bCs/>
          <w:color w:val="000000"/>
        </w:rPr>
      </w:pPr>
      <w:r>
        <w:rPr>
          <w:rFonts w:ascii="Arial" w:hAnsi="Arial" w:cs="Arial"/>
          <w:b/>
        </w:rPr>
        <w:t>Contact Person:</w:t>
      </w:r>
    </w:p>
    <w:p>
      <w:pPr>
        <w:pStyle w:val="123"/>
        <w:numPr>
          <w:ilvl w:val="3"/>
          <w:numId w:val="2"/>
        </w:numPr>
        <w:tabs>
          <w:tab w:val="clear" w:pos="2268"/>
        </w:tabs>
        <w:ind w:left="567"/>
        <w:rPr>
          <w:bCs/>
          <w:color w:val="000000"/>
          <w:sz w:val="22"/>
        </w:rPr>
      </w:pPr>
      <w:r>
        <w:rPr>
          <w:color w:val="000000"/>
          <w:sz w:val="22"/>
        </w:rPr>
        <w:t>Name:</w:t>
      </w:r>
      <w:r>
        <w:rPr>
          <w:color w:val="000000"/>
          <w:sz w:val="22"/>
        </w:rPr>
        <w:tab/>
      </w:r>
      <w:r>
        <w:rPr>
          <w:rFonts w:hint="eastAsia"/>
          <w:color w:val="000000"/>
          <w:sz w:val="22"/>
          <w:lang w:val="en-US" w:eastAsia="zh-CN"/>
        </w:rPr>
        <w:t>Jiren Han</w:t>
      </w:r>
    </w:p>
    <w:p>
      <w:pPr>
        <w:pStyle w:val="123"/>
        <w:numPr>
          <w:ilvl w:val="3"/>
          <w:numId w:val="2"/>
        </w:numPr>
        <w:tabs>
          <w:tab w:val="clear" w:pos="2268"/>
        </w:tabs>
        <w:ind w:left="567"/>
        <w:rPr>
          <w:bCs/>
          <w:color w:val="000000"/>
          <w:sz w:val="22"/>
        </w:rPr>
      </w:pPr>
      <w:r>
        <w:rPr>
          <w:color w:val="000000"/>
          <w:sz w:val="22"/>
        </w:rPr>
        <w:t>E-mail Address:</w:t>
      </w:r>
      <w:r>
        <w:rPr>
          <w:bCs/>
          <w:color w:val="000000"/>
          <w:sz w:val="22"/>
        </w:rPr>
        <w:tab/>
      </w:r>
      <w:r>
        <w:rPr>
          <w:rFonts w:hint="eastAsia"/>
          <w:bCs/>
          <w:color w:val="000000"/>
          <w:sz w:val="22"/>
          <w:lang w:val="en-US" w:eastAsia="zh-CN"/>
        </w:rPr>
        <w:t>han.jiren@zte.com.cn</w:t>
      </w:r>
    </w:p>
    <w:p>
      <w:pPr>
        <w:spacing w:after="60"/>
        <w:ind w:left="1985" w:hanging="1985"/>
        <w:rPr>
          <w:rFonts w:ascii="Arial" w:hAnsi="Arial" w:cs="Arial"/>
          <w:b/>
        </w:rPr>
      </w:pPr>
    </w:p>
    <w:p>
      <w:pPr>
        <w:tabs>
          <w:tab w:val="left" w:pos="2268"/>
        </w:tabs>
        <w:rPr>
          <w:rFonts w:ascii="Arial" w:hAnsi="Arial" w:cs="Arial"/>
          <w:b/>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48"/>
          <w:rFonts w:cs="Arial"/>
        </w:rPr>
        <w:t>mailto:3GPPLiaison@etsi.org</w:t>
      </w:r>
      <w:r>
        <w:rPr>
          <w:rStyle w:val="48"/>
          <w:rFonts w:cs="Arial"/>
        </w:rPr>
        <w:fldChar w:fldCharType="end"/>
      </w:r>
      <w:r>
        <w:rPr>
          <w:rFonts w:ascii="Arial" w:hAnsi="Arial" w:cs="Arial"/>
          <w:b/>
        </w:rPr>
        <w:t xml:space="preserve"> </w:t>
      </w:r>
      <w:r>
        <w:rPr>
          <w:rFonts w:ascii="Arial" w:hAnsi="Arial" w:cs="Arial"/>
          <w:bCs/>
        </w:rPr>
        <w:tab/>
      </w:r>
    </w:p>
    <w:p>
      <w:pPr>
        <w:pBdr>
          <w:bottom w:val="single" w:color="auto" w:sz="4" w:space="1"/>
        </w:pBdr>
        <w:rPr>
          <w:rFonts w:ascii="Arial" w:hAnsi="Arial" w:cs="Arial"/>
        </w:rPr>
      </w:pPr>
    </w:p>
    <w:p>
      <w:pPr>
        <w:rPr>
          <w:rFonts w:ascii="Arial" w:hAnsi="Arial" w:cs="Arial"/>
        </w:rPr>
      </w:pPr>
    </w:p>
    <w:p>
      <w:pPr>
        <w:numPr>
          <w:ilvl w:val="0"/>
          <w:numId w:val="3"/>
        </w:numPr>
        <w:spacing w:after="120"/>
        <w:rPr>
          <w:rFonts w:ascii="Arial" w:hAnsi="Arial" w:cs="Arial"/>
          <w:b/>
        </w:rPr>
      </w:pPr>
      <w:r>
        <w:rPr>
          <w:rFonts w:ascii="Arial" w:hAnsi="Arial" w:cs="Arial"/>
          <w:b/>
        </w:rPr>
        <w:t>Overall Description:</w:t>
      </w:r>
    </w:p>
    <w:p>
      <w:pPr>
        <w:pStyle w:val="34"/>
        <w:rPr>
          <w:rFonts w:hint="eastAsia" w:eastAsia="宋体" w:cs="Arial"/>
          <w:b w:val="0"/>
          <w:sz w:val="20"/>
          <w:lang w:val="en-US" w:eastAsia="zh-CN" w:bidi="ar-SA"/>
        </w:rPr>
      </w:pPr>
      <w:r>
        <w:rPr>
          <w:rFonts w:ascii="Arial" w:hAnsi="Arial" w:eastAsia="Times New Roman" w:cs="Arial"/>
          <w:b w:val="0"/>
          <w:sz w:val="20"/>
          <w:lang w:val="en-GB" w:eastAsia="en-US" w:bidi="ar-SA"/>
        </w:rPr>
        <w:t xml:space="preserve">RAN3 has discussed the scope of the work related to the support of SON/MDT enhancements </w:t>
      </w:r>
      <w:r>
        <w:rPr>
          <w:rFonts w:hint="eastAsia" w:eastAsia="宋体" w:cs="Arial"/>
          <w:b w:val="0"/>
          <w:sz w:val="20"/>
          <w:lang w:val="en-US" w:eastAsia="zh-CN" w:bidi="ar-SA"/>
        </w:rPr>
        <w:t xml:space="preserve">for intra-NTN mobility </w:t>
      </w:r>
      <w:r>
        <w:rPr>
          <w:rFonts w:ascii="Arial" w:hAnsi="Arial" w:eastAsia="Times New Roman" w:cs="Arial"/>
          <w:b w:val="0"/>
          <w:sz w:val="20"/>
          <w:lang w:val="en-GB" w:eastAsia="en-US" w:bidi="ar-SA"/>
        </w:rPr>
        <w:t>and identified t</w:t>
      </w:r>
      <w:r>
        <w:rPr>
          <w:rFonts w:hint="eastAsia" w:eastAsia="宋体" w:cs="Arial"/>
          <w:b w:val="0"/>
          <w:sz w:val="20"/>
          <w:lang w:val="en-US" w:eastAsia="zh-CN" w:bidi="ar-SA"/>
        </w:rPr>
        <w:t>he following issues</w:t>
      </w:r>
      <w:bookmarkStart w:id="5" w:name="_GoBack"/>
      <w:bookmarkEnd w:id="5"/>
      <w:r>
        <w:rPr>
          <w:rFonts w:hint="eastAsia" w:eastAsia="宋体" w:cs="Arial"/>
          <w:b w:val="0"/>
          <w:sz w:val="20"/>
          <w:lang w:val="en-US" w:eastAsia="zh-CN" w:bidi="ar-SA"/>
        </w:rPr>
        <w:t xml:space="preserve"> RAN2 may need to support:</w:t>
      </w:r>
    </w:p>
    <w:p>
      <w:pPr>
        <w:pStyle w:val="34"/>
        <w:rPr>
          <w:rFonts w:hint="eastAsia" w:eastAsia="宋体" w:cs="Arial"/>
          <w:b w:val="0"/>
          <w:sz w:val="20"/>
          <w:lang w:val="en-US" w:eastAsia="zh-CN" w:bidi="ar-SA"/>
        </w:rPr>
      </w:pPr>
    </w:p>
    <w:p>
      <w:pPr>
        <w:pStyle w:val="34"/>
        <w:numPr>
          <w:ilvl w:val="0"/>
          <w:numId w:val="0"/>
        </w:numPr>
        <w:rPr>
          <w:rFonts w:hint="eastAsia" w:eastAsia="宋体" w:cs="Arial"/>
          <w:b w:val="0"/>
          <w:sz w:val="20"/>
          <w:lang w:val="en-US" w:eastAsia="zh-CN" w:bidi="ar-SA"/>
        </w:rPr>
      </w:pPr>
      <w:r>
        <w:rPr>
          <w:rFonts w:hint="eastAsia" w:eastAsia="宋体" w:cs="Arial"/>
          <w:b w:val="0"/>
          <w:sz w:val="20"/>
          <w:lang w:val="en-US" w:eastAsia="zh-CN" w:bidi="ar-SA"/>
        </w:rPr>
        <w:t>- The enhancement of RLF report used for intra-NTN mobility, including the legacy (conditional) handover and the time-based/location-based conditional handover.</w:t>
      </w:r>
    </w:p>
    <w:p>
      <w:pPr>
        <w:pStyle w:val="34"/>
        <w:numPr>
          <w:ilvl w:val="0"/>
          <w:numId w:val="0"/>
        </w:numPr>
        <w:rPr>
          <w:rFonts w:hint="default" w:eastAsia="宋体" w:cs="Arial"/>
          <w:b w:val="0"/>
          <w:sz w:val="20"/>
          <w:lang w:val="en-US" w:eastAsia="zh-CN" w:bidi="ar-SA"/>
        </w:rPr>
      </w:pPr>
      <w:r>
        <w:rPr>
          <w:rFonts w:hint="eastAsia" w:eastAsia="宋体" w:cs="Arial"/>
          <w:b w:val="0"/>
          <w:sz w:val="20"/>
          <w:lang w:val="en-US" w:eastAsia="zh-CN" w:bidi="ar-SA"/>
        </w:rPr>
        <w:t>- The enhancement of logged MDT for NTN, including the Area Configuration over Uu.</w:t>
      </w:r>
    </w:p>
    <w:p>
      <w:pPr>
        <w:rPr>
          <w:rFonts w:hint="default" w:eastAsia="宋体" w:cs="等线"/>
          <w:b/>
          <w:bCs/>
          <w:lang w:val="en-US" w:eastAsia="zh-CN"/>
        </w:rPr>
      </w:pPr>
      <w:r>
        <w:rPr>
          <w:rFonts w:hint="eastAsia" w:eastAsia="宋体" w:cs="等线"/>
          <w:b/>
          <w:bCs/>
          <w:lang w:val="en-US" w:eastAsia="zh-CN"/>
        </w:rPr>
        <w:t xml:space="preserve">  </w:t>
      </w: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 xml:space="preserve">To </w:t>
      </w:r>
      <w:r>
        <w:rPr>
          <w:rFonts w:hint="eastAsia" w:ascii="Arial" w:hAnsi="Arial" w:cs="Arial"/>
          <w:b/>
          <w:lang w:val="en-US" w:eastAsia="zh-CN"/>
        </w:rPr>
        <w:t>RAN2</w:t>
      </w:r>
      <w:r>
        <w:rPr>
          <w:rFonts w:ascii="Arial" w:hAnsi="Arial" w:cs="Arial"/>
          <w:b/>
        </w:rPr>
        <w:t xml:space="preserve"> group.</w:t>
      </w:r>
    </w:p>
    <w:p>
      <w:pPr>
        <w:spacing w:after="120"/>
        <w:ind w:left="993" w:hanging="993"/>
        <w:rPr>
          <w:rFonts w:hint="default" w:ascii="Arial" w:hAnsi="Arial" w:cs="Arial"/>
          <w:i/>
          <w:iCs/>
          <w:color w:val="FF0000"/>
          <w:lang w:val="en-US"/>
        </w:rPr>
      </w:pPr>
      <w:r>
        <w:rPr>
          <w:rFonts w:ascii="Arial" w:hAnsi="Arial" w:cs="Arial"/>
          <w:b/>
        </w:rPr>
        <w:t xml:space="preserve">ACTION: </w:t>
      </w:r>
      <w:r>
        <w:rPr>
          <w:rFonts w:ascii="Arial" w:hAnsi="Arial" w:cs="Arial"/>
          <w:b/>
        </w:rPr>
        <w:tab/>
      </w:r>
      <w:r>
        <w:rPr>
          <w:rFonts w:hint="eastAsia" w:ascii="Arial" w:hAnsi="Arial" w:eastAsia="宋体" w:cs="Arial"/>
          <w:lang w:val="en-US" w:eastAsia="zh-CN"/>
        </w:rPr>
        <w:t>RAN3 kindly asks RAN2 to take the above into consideration.</w:t>
      </w:r>
    </w:p>
    <w:p>
      <w:pPr>
        <w:spacing w:after="120"/>
        <w:rPr>
          <w:rFonts w:ascii="Arial" w:hAnsi="Arial" w:cs="Arial"/>
        </w:rPr>
      </w:pPr>
    </w:p>
    <w:p>
      <w:pPr>
        <w:spacing w:after="120"/>
        <w:rPr>
          <w:rFonts w:ascii="Arial" w:hAnsi="Arial" w:cs="Arial"/>
          <w:b/>
          <w:lang w:val="en-US"/>
        </w:rPr>
      </w:pPr>
      <w:r>
        <w:rPr>
          <w:rFonts w:ascii="Arial" w:hAnsi="Arial" w:cs="Arial"/>
          <w:b/>
        </w:rPr>
        <w:t>3. Date of Next RAN3 Meetings:</w:t>
      </w:r>
    </w:p>
    <w:p>
      <w:pPr>
        <w:overflowPunct w:val="0"/>
        <w:autoSpaceDE w:val="0"/>
        <w:autoSpaceDN w:val="0"/>
        <w:adjustRightInd w:val="0"/>
        <w:spacing w:after="120"/>
        <w:textAlignment w:val="baseline"/>
        <w:rPr>
          <w:rFonts w:hint="default" w:ascii="Arial" w:hAnsi="Arial" w:eastAsia="宋体" w:cs="Arial"/>
          <w:szCs w:val="15"/>
          <w:lang w:val="en-US" w:eastAsia="zh-CN"/>
        </w:rPr>
      </w:pPr>
      <w:r>
        <w:rPr>
          <w:rFonts w:ascii="Arial" w:hAnsi="Arial" w:cs="Arial"/>
        </w:rPr>
        <w:t>TSG RAN WG</w:t>
      </w:r>
      <w:r>
        <w:rPr>
          <w:rFonts w:hint="eastAsia" w:ascii="Arial" w:hAnsi="Arial" w:cs="Arial"/>
          <w:lang w:val="en-US" w:eastAsia="zh-CN"/>
        </w:rPr>
        <w:t>3</w:t>
      </w:r>
      <w:r>
        <w:rPr>
          <w:rFonts w:ascii="Arial" w:hAnsi="Arial" w:cs="Arial"/>
        </w:rPr>
        <w:t xml:space="preserve"> Meeting #</w:t>
      </w:r>
      <w:r>
        <w:rPr>
          <w:rFonts w:ascii="Arial" w:hAnsi="Arial" w:eastAsia="Yu Mincho" w:cs="Arial"/>
          <w:bCs/>
        </w:rPr>
        <w:t>1</w:t>
      </w:r>
      <w:r>
        <w:rPr>
          <w:rFonts w:hint="eastAsia" w:ascii="Arial" w:hAnsi="Arial" w:eastAsia="宋体" w:cs="Arial"/>
          <w:bCs/>
          <w:lang w:val="en-US" w:eastAsia="zh-CN"/>
        </w:rPr>
        <w:t>25</w:t>
      </w:r>
      <w:r>
        <w:rPr>
          <w:rFonts w:ascii="Arial" w:hAnsi="Arial" w:cs="Arial"/>
          <w:bCs/>
          <w:lang w:val="en-US" w:eastAsia="zh-CN"/>
        </w:rPr>
        <w:t xml:space="preserve">     </w:t>
      </w:r>
      <w:r>
        <w:rPr>
          <w:rFonts w:hint="eastAsia" w:ascii="Arial" w:hAnsi="Arial" w:cs="Arial"/>
          <w:bCs/>
          <w:lang w:val="en-US" w:eastAsia="zh-CN"/>
        </w:rPr>
        <w:t>19</w:t>
      </w:r>
      <w:r>
        <w:rPr>
          <w:rFonts w:ascii="Arial" w:hAnsi="Arial" w:eastAsia="Wingdings" w:cs="Calibri Light"/>
          <w:bCs/>
          <w:vertAlign w:val="superscript"/>
        </w:rPr>
        <w:t>th</w:t>
      </w:r>
      <w:r>
        <w:rPr>
          <w:rFonts w:ascii="Arial" w:hAnsi="Arial" w:eastAsia="Wingdings" w:cs="Calibri Light"/>
          <w:bCs/>
        </w:rPr>
        <w:t xml:space="preserve"> – </w:t>
      </w:r>
      <w:r>
        <w:rPr>
          <w:rFonts w:hint="eastAsia" w:ascii="Arial" w:hAnsi="Arial" w:cs="Arial"/>
          <w:bCs/>
          <w:lang w:val="en-US" w:eastAsia="zh-CN"/>
        </w:rPr>
        <w:t>24</w:t>
      </w:r>
      <w:r>
        <w:rPr>
          <w:rFonts w:ascii="Arial" w:hAnsi="Arial" w:eastAsia="Wingdings" w:cs="Calibri Light"/>
          <w:bCs/>
          <w:vertAlign w:val="superscript"/>
        </w:rPr>
        <w:t>th</w:t>
      </w:r>
      <w:r>
        <w:rPr>
          <w:rFonts w:ascii="Arial" w:hAnsi="Arial" w:cs="Calibri Light"/>
          <w:bCs/>
          <w:lang w:val="en-US" w:eastAsia="zh-CN"/>
        </w:rPr>
        <w:t>,</w:t>
      </w:r>
      <w:r>
        <w:rPr>
          <w:rFonts w:ascii="Arial" w:hAnsi="Arial" w:eastAsia="Wingdings" w:cs="Calibri Light"/>
          <w:bCs/>
        </w:rPr>
        <w:t xml:space="preserve"> </w:t>
      </w:r>
      <w:r>
        <w:rPr>
          <w:rFonts w:hint="eastAsia" w:ascii="Arial" w:hAnsi="Arial" w:eastAsia="宋体" w:cs="Calibri Light"/>
          <w:bCs/>
          <w:lang w:val="en-US" w:eastAsia="zh-CN"/>
        </w:rPr>
        <w:t>Aug</w:t>
      </w:r>
      <w:r>
        <w:rPr>
          <w:rFonts w:hint="eastAsia" w:ascii="Arial" w:hAnsi="Arial" w:eastAsia="Wingdings" w:cs="Calibri Light"/>
          <w:bCs/>
        </w:rPr>
        <w:t>.</w:t>
      </w:r>
      <w:r>
        <w:rPr>
          <w:rFonts w:ascii="Arial" w:hAnsi="Arial" w:eastAsia="Wingdings" w:cs="Calibri Light"/>
          <w:bCs/>
        </w:rPr>
        <w:t xml:space="preserve"> 202</w:t>
      </w:r>
      <w:r>
        <w:rPr>
          <w:rFonts w:hint="eastAsia" w:ascii="Arial" w:hAnsi="Arial" w:eastAsia="宋体" w:cs="Calibri Light"/>
          <w:bCs/>
          <w:lang w:val="en-US" w:eastAsia="zh-CN"/>
        </w:rPr>
        <w:t>4</w:t>
      </w:r>
      <w:r>
        <w:rPr>
          <w:rFonts w:ascii="Arial" w:hAnsi="Arial" w:eastAsia="Wingdings" w:cs="Calibri Light"/>
          <w:bCs/>
        </w:rPr>
        <w:t xml:space="preserve"> </w:t>
      </w:r>
      <w:r>
        <w:rPr>
          <w:rFonts w:ascii="Arial" w:hAnsi="Arial" w:cs="Arial"/>
        </w:rPr>
        <w:tab/>
      </w:r>
      <w:r>
        <w:rPr>
          <w:rFonts w:ascii="Arial" w:hAnsi="Arial" w:cs="Arial"/>
        </w:rPr>
        <w:tab/>
      </w:r>
      <w:r>
        <w:rPr>
          <w:rFonts w:hint="eastAsia" w:ascii="Arial" w:hAnsi="Arial" w:cs="Arial"/>
          <w:lang w:val="en-US" w:eastAsia="zh-CN"/>
        </w:rPr>
        <w:t xml:space="preserve"> </w:t>
      </w:r>
      <w:r>
        <w:rPr>
          <w:rFonts w:ascii="Arial" w:hAnsi="Arial" w:cs="Arial"/>
          <w:bCs/>
        </w:rPr>
        <w:t>Maastricht, The Netherlands</w:t>
      </w: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D69D0C"/>
    <w:multiLevelType w:val="singleLevel"/>
    <w:tmpl w:val="03D69D0C"/>
    <w:lvl w:ilvl="0" w:tentative="0">
      <w:start w:val="1"/>
      <w:numFmt w:val="decimal"/>
      <w:suff w:val="space"/>
      <w:lvlText w:val="[%1]"/>
      <w:lvlJc w:val="left"/>
      <w:rPr>
        <w:rFonts w:hint="default" w:ascii="Arial" w:hAnsi="Arial" w:cs="Arial"/>
      </w:rPr>
    </w:lvl>
  </w:abstractNum>
  <w:abstractNum w:abstractNumId="1">
    <w:nsid w:val="43DA5426"/>
    <w:multiLevelType w:val="multilevel"/>
    <w:tmpl w:val="43DA542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44F59F0"/>
    <w:multiLevelType w:val="multilevel"/>
    <w:tmpl w:val="444F59F0"/>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none"/>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1428"/>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C41EB"/>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1805634"/>
    <w:rsid w:val="02B6410D"/>
    <w:rsid w:val="03CA6E38"/>
    <w:rsid w:val="04AF3F3E"/>
    <w:rsid w:val="05434750"/>
    <w:rsid w:val="06372CC4"/>
    <w:rsid w:val="093150BB"/>
    <w:rsid w:val="09740087"/>
    <w:rsid w:val="0A1E5028"/>
    <w:rsid w:val="0E3136E6"/>
    <w:rsid w:val="0EB605BF"/>
    <w:rsid w:val="0EC05A14"/>
    <w:rsid w:val="0F16768D"/>
    <w:rsid w:val="13792BAA"/>
    <w:rsid w:val="15A20725"/>
    <w:rsid w:val="16CE0C48"/>
    <w:rsid w:val="171B6E71"/>
    <w:rsid w:val="17293D03"/>
    <w:rsid w:val="1841327A"/>
    <w:rsid w:val="1A0466FB"/>
    <w:rsid w:val="1A9B3954"/>
    <w:rsid w:val="1C2D35B9"/>
    <w:rsid w:val="1C4132FF"/>
    <w:rsid w:val="1D155476"/>
    <w:rsid w:val="21285BC2"/>
    <w:rsid w:val="21386679"/>
    <w:rsid w:val="229C0FCD"/>
    <w:rsid w:val="23082C82"/>
    <w:rsid w:val="23545058"/>
    <w:rsid w:val="24792A7B"/>
    <w:rsid w:val="25B72A8C"/>
    <w:rsid w:val="26A22470"/>
    <w:rsid w:val="27405070"/>
    <w:rsid w:val="28637FC4"/>
    <w:rsid w:val="2A690BFD"/>
    <w:rsid w:val="2CE25BA2"/>
    <w:rsid w:val="2F223451"/>
    <w:rsid w:val="30CB3834"/>
    <w:rsid w:val="315B4657"/>
    <w:rsid w:val="315E1A2C"/>
    <w:rsid w:val="3213537B"/>
    <w:rsid w:val="343C414D"/>
    <w:rsid w:val="3508037E"/>
    <w:rsid w:val="35210BF3"/>
    <w:rsid w:val="367F46EA"/>
    <w:rsid w:val="36DB3FDE"/>
    <w:rsid w:val="37375E73"/>
    <w:rsid w:val="3A5B0F85"/>
    <w:rsid w:val="3CB536C8"/>
    <w:rsid w:val="3D3E6E28"/>
    <w:rsid w:val="3D903463"/>
    <w:rsid w:val="3E313BCA"/>
    <w:rsid w:val="3EB90BDA"/>
    <w:rsid w:val="41497E94"/>
    <w:rsid w:val="41D23F43"/>
    <w:rsid w:val="42B31359"/>
    <w:rsid w:val="434C78FE"/>
    <w:rsid w:val="469938F6"/>
    <w:rsid w:val="489004DE"/>
    <w:rsid w:val="493D64F1"/>
    <w:rsid w:val="4A1178ED"/>
    <w:rsid w:val="50E6634D"/>
    <w:rsid w:val="51AC1FE5"/>
    <w:rsid w:val="56344915"/>
    <w:rsid w:val="5A8D75A7"/>
    <w:rsid w:val="5BA31801"/>
    <w:rsid w:val="5CE93BF4"/>
    <w:rsid w:val="5ECD7994"/>
    <w:rsid w:val="619940E5"/>
    <w:rsid w:val="62B9609B"/>
    <w:rsid w:val="656E746E"/>
    <w:rsid w:val="656F1C10"/>
    <w:rsid w:val="669069E8"/>
    <w:rsid w:val="679378BF"/>
    <w:rsid w:val="68441265"/>
    <w:rsid w:val="688D6F0D"/>
    <w:rsid w:val="6970652E"/>
    <w:rsid w:val="6B2A73F3"/>
    <w:rsid w:val="6B9F2C01"/>
    <w:rsid w:val="6BFA4652"/>
    <w:rsid w:val="6E3A0B0C"/>
    <w:rsid w:val="6E9640E8"/>
    <w:rsid w:val="70A873E0"/>
    <w:rsid w:val="71A507A8"/>
    <w:rsid w:val="71F11DC7"/>
    <w:rsid w:val="72CE503E"/>
    <w:rsid w:val="75CB674E"/>
    <w:rsid w:val="76541BA8"/>
    <w:rsid w:val="79DB7E05"/>
    <w:rsid w:val="7AF23CD6"/>
    <w:rsid w:val="7B13784B"/>
    <w:rsid w:val="7B722DAC"/>
    <w:rsid w:val="7C0C40B8"/>
    <w:rsid w:val="7C821B55"/>
    <w:rsid w:val="7CD948A7"/>
    <w:rsid w:val="7D3B4375"/>
    <w:rsid w:val="7DFC7E01"/>
    <w:rsid w:val="7E80318C"/>
    <w:rsid w:val="7EE250F5"/>
    <w:rsid w:val="7EE60970"/>
    <w:rsid w:val="7FF01D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4"/>
    <w:qFormat/>
    <w:uiPriority w:val="0"/>
    <w:pPr>
      <w:shd w:val="clear" w:color="auto" w:fill="000080"/>
    </w:pPr>
    <w:rPr>
      <w:rFonts w:ascii="Tahoma" w:hAnsi="Tahoma" w:cs="Tahoma"/>
    </w:rPr>
  </w:style>
  <w:style w:type="paragraph" w:styleId="29">
    <w:name w:val="annotation text"/>
    <w:basedOn w:val="1"/>
    <w:link w:val="112"/>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51"/>
    <w:qFormat/>
    <w:uiPriority w:val="0"/>
    <w:rPr>
      <w:rFonts w:ascii="Tahoma" w:hAnsi="Tahoma" w:cs="Tahoma"/>
      <w:sz w:val="16"/>
      <w:szCs w:val="16"/>
    </w:rPr>
  </w:style>
  <w:style w:type="paragraph" w:styleId="33">
    <w:name w:val="footer"/>
    <w:basedOn w:val="34"/>
    <w:link w:val="97"/>
    <w:qFormat/>
    <w:uiPriority w:val="0"/>
    <w:pPr>
      <w:jc w:val="center"/>
    </w:pPr>
    <w:rPr>
      <w:i/>
    </w:rPr>
  </w:style>
  <w:style w:type="paragraph" w:styleId="34">
    <w:name w:val="header"/>
    <w:link w:val="88"/>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11"/>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3"/>
    <w:qFormat/>
    <w:uiPriority w:val="0"/>
    <w:rPr>
      <w:b/>
      <w:bCs/>
    </w:rPr>
  </w:style>
  <w:style w:type="table" w:styleId="44">
    <w:name w:val="Table Grid"/>
    <w:basedOn w:val="43"/>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character" w:customStyle="1" w:styleId="51">
    <w:name w:val="批注框文本 字符"/>
    <w:link w:val="32"/>
    <w:qFormat/>
    <w:uiPriority w:val="0"/>
    <w:rPr>
      <w:rFonts w:ascii="Tahoma" w:hAnsi="Tahoma" w:cs="Tahoma"/>
      <w:sz w:val="16"/>
      <w:szCs w:val="16"/>
      <w:lang w:val="en-GB"/>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3"/>
    <w:qFormat/>
    <w:uiPriority w:val="0"/>
    <w:rPr>
      <w:b/>
    </w:rPr>
  </w:style>
  <w:style w:type="paragraph" w:customStyle="1" w:styleId="56">
    <w:name w:val="TAC"/>
    <w:basedOn w:val="57"/>
    <w:link w:val="92"/>
    <w:qFormat/>
    <w:uiPriority w:val="0"/>
    <w:pPr>
      <w:jc w:val="center"/>
    </w:pPr>
  </w:style>
  <w:style w:type="paragraph" w:customStyle="1" w:styleId="57">
    <w:name w:val="TAL"/>
    <w:basedOn w:val="1"/>
    <w:link w:val="91"/>
    <w:qFormat/>
    <w:uiPriority w:val="0"/>
    <w:pPr>
      <w:keepNext/>
      <w:keepLines/>
      <w:spacing w:after="0"/>
    </w:pPr>
    <w:rPr>
      <w:rFonts w:ascii="Arial" w:hAnsi="Arial"/>
      <w:sz w:val="18"/>
    </w:rPr>
  </w:style>
  <w:style w:type="paragraph" w:customStyle="1" w:styleId="58">
    <w:name w:val="TF"/>
    <w:basedOn w:val="59"/>
    <w:link w:val="104"/>
    <w:qFormat/>
    <w:uiPriority w:val="0"/>
    <w:pPr>
      <w:keepNext w:val="0"/>
      <w:spacing w:before="0" w:after="240"/>
    </w:pPr>
  </w:style>
  <w:style w:type="paragraph" w:customStyle="1" w:styleId="59">
    <w:name w:val="TH"/>
    <w:basedOn w:val="1"/>
    <w:link w:val="103"/>
    <w:qFormat/>
    <w:uiPriority w:val="0"/>
    <w:pPr>
      <w:keepNext/>
      <w:keepLines/>
      <w:spacing w:before="60"/>
      <w:jc w:val="center"/>
    </w:pPr>
    <w:rPr>
      <w:rFonts w:ascii="Arial" w:hAnsi="Arial"/>
      <w:b/>
    </w:rPr>
  </w:style>
  <w:style w:type="paragraph" w:customStyle="1" w:styleId="60">
    <w:name w:val="NO"/>
    <w:basedOn w:val="1"/>
    <w:link w:val="98"/>
    <w:qFormat/>
    <w:uiPriority w:val="0"/>
    <w:pPr>
      <w:keepLines/>
      <w:ind w:left="1135" w:hanging="851"/>
    </w:pPr>
  </w:style>
  <w:style w:type="paragraph" w:customStyle="1" w:styleId="61">
    <w:name w:val="EX"/>
    <w:basedOn w:val="1"/>
    <w:link w:val="100"/>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2"/>
    <w:qFormat/>
    <w:uiPriority w:val="0"/>
    <w:rPr>
      <w:color w:val="FF0000"/>
    </w:rPr>
  </w:style>
  <w:style w:type="paragraph" w:customStyle="1" w:styleId="79">
    <w:name w:val="B1"/>
    <w:basedOn w:val="14"/>
    <w:link w:val="101"/>
    <w:qFormat/>
    <w:uiPriority w:val="0"/>
  </w:style>
  <w:style w:type="paragraph" w:customStyle="1" w:styleId="80">
    <w:name w:val="B2"/>
    <w:basedOn w:val="13"/>
    <w:link w:val="105"/>
    <w:qFormat/>
    <w:uiPriority w:val="0"/>
  </w:style>
  <w:style w:type="paragraph" w:customStyle="1" w:styleId="81">
    <w:name w:val="B3"/>
    <w:basedOn w:val="12"/>
    <w:link w:val="106"/>
    <w:qFormat/>
    <w:uiPriority w:val="0"/>
  </w:style>
  <w:style w:type="paragraph" w:customStyle="1" w:styleId="82">
    <w:name w:val="B4"/>
    <w:basedOn w:val="37"/>
    <w:qFormat/>
    <w:uiPriority w:val="0"/>
  </w:style>
  <w:style w:type="paragraph" w:customStyle="1" w:styleId="83">
    <w:name w:val="B5"/>
    <w:basedOn w:val="36"/>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paragraph" w:customStyle="1" w:styleId="87">
    <w:name w:val="First Change"/>
    <w:basedOn w:val="1"/>
    <w:qFormat/>
    <w:uiPriority w:val="0"/>
    <w:pPr>
      <w:jc w:val="center"/>
    </w:pPr>
    <w:rPr>
      <w:color w:val="FF0000"/>
    </w:rPr>
  </w:style>
  <w:style w:type="character" w:customStyle="1" w:styleId="88">
    <w:name w:val="页眉 字符"/>
    <w:link w:val="34"/>
    <w:qFormat/>
    <w:uiPriority w:val="0"/>
    <w:rPr>
      <w:rFonts w:ascii="Arial" w:hAnsi="Arial"/>
      <w:b/>
      <w:sz w:val="18"/>
      <w:lang w:eastAsia="en-US"/>
    </w:rPr>
  </w:style>
  <w:style w:type="paragraph" w:customStyle="1" w:styleId="89">
    <w:name w:val="a"/>
    <w:basedOn w:val="85"/>
    <w:qFormat/>
    <w:uiPriority w:val="0"/>
    <w:pPr>
      <w:tabs>
        <w:tab w:val="left" w:pos="1985"/>
      </w:tabs>
    </w:pPr>
    <w:rPr>
      <w:rFonts w:cs="Arial"/>
      <w:b/>
      <w:bCs/>
      <w:color w:val="000000"/>
      <w:sz w:val="24"/>
      <w:szCs w:val="24"/>
      <w:lang w:val="en-US"/>
    </w:rPr>
  </w:style>
  <w:style w:type="paragraph" w:customStyle="1" w:styleId="90">
    <w:name w:val="Discussion"/>
    <w:basedOn w:val="1"/>
    <w:qFormat/>
    <w:uiPriority w:val="0"/>
    <w:rPr>
      <w:rFonts w:ascii="Arial" w:hAnsi="Arial" w:cs="Arial"/>
    </w:rPr>
  </w:style>
  <w:style w:type="character" w:customStyle="1" w:styleId="91">
    <w:name w:val="TAL Char"/>
    <w:link w:val="57"/>
    <w:qFormat/>
    <w:uiPriority w:val="0"/>
    <w:rPr>
      <w:rFonts w:ascii="Arial" w:hAnsi="Arial"/>
      <w:sz w:val="18"/>
      <w:lang w:val="en-GB"/>
    </w:rPr>
  </w:style>
  <w:style w:type="character" w:customStyle="1" w:styleId="92">
    <w:name w:val="TAC Char"/>
    <w:link w:val="56"/>
    <w:qFormat/>
    <w:uiPriority w:val="0"/>
    <w:rPr>
      <w:rFonts w:ascii="Arial" w:hAnsi="Arial"/>
      <w:sz w:val="18"/>
      <w:lang w:val="en-GB"/>
    </w:rPr>
  </w:style>
  <w:style w:type="character" w:customStyle="1" w:styleId="93">
    <w:name w:val="TAH Char"/>
    <w:link w:val="55"/>
    <w:qFormat/>
    <w:uiPriority w:val="0"/>
    <w:rPr>
      <w:rFonts w:ascii="Arial" w:hAnsi="Arial"/>
      <w:b/>
      <w:sz w:val="18"/>
      <w:lang w:val="en-GB"/>
    </w:rPr>
  </w:style>
  <w:style w:type="character" w:customStyle="1" w:styleId="94">
    <w:name w:val="标题 4 字符"/>
    <w:link w:val="5"/>
    <w:qFormat/>
    <w:uiPriority w:val="0"/>
    <w:rPr>
      <w:rFonts w:ascii="Arial" w:hAnsi="Arial"/>
      <w:sz w:val="24"/>
      <w:lang w:val="en-GB"/>
    </w:rPr>
  </w:style>
  <w:style w:type="character" w:customStyle="1" w:styleId="95">
    <w:name w:val="标题 3 字符"/>
    <w:link w:val="4"/>
    <w:qFormat/>
    <w:uiPriority w:val="0"/>
    <w:rPr>
      <w:rFonts w:ascii="Arial" w:hAnsi="Arial"/>
      <w:sz w:val="28"/>
      <w:lang w:val="en-GB"/>
    </w:rPr>
  </w:style>
  <w:style w:type="character" w:customStyle="1" w:styleId="96">
    <w:name w:val="标题 6 字符"/>
    <w:link w:val="7"/>
    <w:qFormat/>
    <w:uiPriority w:val="0"/>
    <w:rPr>
      <w:rFonts w:ascii="Arial" w:hAnsi="Arial"/>
      <w:lang w:val="en-GB"/>
    </w:rPr>
  </w:style>
  <w:style w:type="character" w:customStyle="1" w:styleId="97">
    <w:name w:val="页脚 字符"/>
    <w:link w:val="33"/>
    <w:qFormat/>
    <w:uiPriority w:val="0"/>
    <w:rPr>
      <w:rFonts w:ascii="Arial" w:hAnsi="Arial"/>
      <w:b/>
      <w:i/>
      <w:sz w:val="18"/>
      <w:lang w:val="en-GB"/>
    </w:rPr>
  </w:style>
  <w:style w:type="character" w:customStyle="1" w:styleId="98">
    <w:name w:val="NO Char"/>
    <w:link w:val="60"/>
    <w:qFormat/>
    <w:uiPriority w:val="0"/>
    <w:rPr>
      <w:rFonts w:ascii="Times New Roman" w:hAnsi="Times New Roman"/>
      <w:lang w:val="en-GB"/>
    </w:rPr>
  </w:style>
  <w:style w:type="character" w:customStyle="1" w:styleId="99">
    <w:name w:val="PL Char"/>
    <w:link w:val="68"/>
    <w:qFormat/>
    <w:uiPriority w:val="0"/>
    <w:rPr>
      <w:rFonts w:ascii="Courier New" w:hAnsi="Courier New"/>
      <w:sz w:val="16"/>
      <w:lang w:val="en-GB"/>
    </w:rPr>
  </w:style>
  <w:style w:type="character" w:customStyle="1" w:styleId="100">
    <w:name w:val="EX Char"/>
    <w:link w:val="61"/>
    <w:qFormat/>
    <w:uiPriority w:val="0"/>
    <w:rPr>
      <w:rFonts w:ascii="Times New Roman" w:hAnsi="Times New Roman"/>
      <w:lang w:val="en-GB"/>
    </w:rPr>
  </w:style>
  <w:style w:type="character" w:customStyle="1" w:styleId="101">
    <w:name w:val="B1 Char"/>
    <w:link w:val="79"/>
    <w:qFormat/>
    <w:uiPriority w:val="0"/>
    <w:rPr>
      <w:rFonts w:ascii="Times New Roman" w:hAnsi="Times New Roman"/>
      <w:lang w:val="en-GB"/>
    </w:rPr>
  </w:style>
  <w:style w:type="character" w:customStyle="1" w:styleId="102">
    <w:name w:val="Editor's Note Char"/>
    <w:link w:val="78"/>
    <w:qFormat/>
    <w:uiPriority w:val="0"/>
    <w:rPr>
      <w:rFonts w:ascii="Times New Roman" w:hAnsi="Times New Roman"/>
      <w:color w:val="FF0000"/>
      <w:lang w:val="en-GB"/>
    </w:rPr>
  </w:style>
  <w:style w:type="character" w:customStyle="1" w:styleId="103">
    <w:name w:val="TH Char"/>
    <w:link w:val="59"/>
    <w:qFormat/>
    <w:uiPriority w:val="0"/>
    <w:rPr>
      <w:rFonts w:ascii="Arial" w:hAnsi="Arial"/>
      <w:b/>
      <w:lang w:val="en-GB"/>
    </w:rPr>
  </w:style>
  <w:style w:type="character" w:customStyle="1" w:styleId="104">
    <w:name w:val="TF Char"/>
    <w:link w:val="58"/>
    <w:qFormat/>
    <w:uiPriority w:val="0"/>
    <w:rPr>
      <w:rFonts w:ascii="Arial" w:hAnsi="Arial"/>
      <w:b/>
      <w:lang w:val="en-GB"/>
    </w:rPr>
  </w:style>
  <w:style w:type="character" w:customStyle="1" w:styleId="105">
    <w:name w:val="B2 Char"/>
    <w:link w:val="80"/>
    <w:qFormat/>
    <w:uiPriority w:val="0"/>
    <w:rPr>
      <w:rFonts w:ascii="Times New Roman" w:hAnsi="Times New Roman"/>
      <w:lang w:val="en-GB"/>
    </w:rPr>
  </w:style>
  <w:style w:type="character" w:customStyle="1" w:styleId="106">
    <w:name w:val="B3 Char"/>
    <w:link w:val="81"/>
    <w:qFormat/>
    <w:uiPriority w:val="0"/>
    <w:rPr>
      <w:rFonts w:ascii="Times New Roman" w:hAnsi="Times New Roman"/>
      <w:lang w:val="en-GB"/>
    </w:rPr>
  </w:style>
  <w:style w:type="paragraph" w:customStyle="1" w:styleId="107">
    <w:name w:val="TAJ"/>
    <w:basedOn w:val="59"/>
    <w:qFormat/>
    <w:uiPriority w:val="0"/>
    <w:pPr>
      <w:overflowPunct w:val="0"/>
      <w:autoSpaceDE w:val="0"/>
      <w:autoSpaceDN w:val="0"/>
      <w:adjustRightInd w:val="0"/>
      <w:textAlignment w:val="baseline"/>
    </w:pPr>
  </w:style>
  <w:style w:type="paragraph" w:customStyle="1" w:styleId="108">
    <w:name w:val="Guidance"/>
    <w:basedOn w:val="1"/>
    <w:qFormat/>
    <w:uiPriority w:val="0"/>
    <w:pPr>
      <w:overflowPunct w:val="0"/>
      <w:autoSpaceDE w:val="0"/>
      <w:autoSpaceDN w:val="0"/>
      <w:adjustRightInd w:val="0"/>
      <w:textAlignment w:val="baseline"/>
    </w:pPr>
    <w:rPr>
      <w:i/>
      <w:color w:val="0000FF"/>
    </w:rPr>
  </w:style>
  <w:style w:type="paragraph" w:customStyle="1" w:styleId="109">
    <w:name w:val="修订1"/>
    <w:hidden/>
    <w:semiHidden/>
    <w:qFormat/>
    <w:uiPriority w:val="99"/>
    <w:rPr>
      <w:rFonts w:ascii="Times New Roman" w:hAnsi="Times New Roman" w:eastAsia="Times New Roman" w:cs="Times New Roman"/>
      <w:lang w:val="en-GB" w:eastAsia="en-US" w:bidi="ar-SA"/>
    </w:rPr>
  </w:style>
  <w:style w:type="character" w:customStyle="1" w:styleId="110">
    <w:name w:val="@他1"/>
    <w:semiHidden/>
    <w:unhideWhenUsed/>
    <w:qFormat/>
    <w:uiPriority w:val="99"/>
    <w:rPr>
      <w:color w:val="2B579A"/>
      <w:shd w:val="clear" w:color="auto" w:fill="E6E6E6"/>
    </w:rPr>
  </w:style>
  <w:style w:type="character" w:customStyle="1" w:styleId="111">
    <w:name w:val="脚注文本 字符"/>
    <w:link w:val="35"/>
    <w:qFormat/>
    <w:uiPriority w:val="0"/>
    <w:rPr>
      <w:rFonts w:ascii="Times New Roman" w:hAnsi="Times New Roman"/>
      <w:sz w:val="16"/>
      <w:lang w:val="en-GB"/>
    </w:rPr>
  </w:style>
  <w:style w:type="character" w:customStyle="1" w:styleId="112">
    <w:name w:val="批注文字 字符"/>
    <w:link w:val="29"/>
    <w:qFormat/>
    <w:uiPriority w:val="0"/>
    <w:rPr>
      <w:rFonts w:ascii="Times New Roman" w:hAnsi="Times New Roman"/>
      <w:lang w:val="en-GB"/>
    </w:rPr>
  </w:style>
  <w:style w:type="character" w:customStyle="1" w:styleId="113">
    <w:name w:val="批注主题 字符"/>
    <w:link w:val="42"/>
    <w:qFormat/>
    <w:uiPriority w:val="0"/>
    <w:rPr>
      <w:rFonts w:ascii="Times New Roman" w:hAnsi="Times New Roman"/>
      <w:b/>
      <w:bCs/>
      <w:lang w:val="en-GB"/>
    </w:rPr>
  </w:style>
  <w:style w:type="character" w:customStyle="1" w:styleId="114">
    <w:name w:val="文档结构图 字符"/>
    <w:link w:val="28"/>
    <w:qFormat/>
    <w:uiPriority w:val="0"/>
    <w:rPr>
      <w:rFonts w:ascii="Tahoma" w:hAnsi="Tahoma" w:cs="Tahoma"/>
      <w:shd w:val="clear" w:color="auto" w:fill="000080"/>
      <w:lang w:val="en-GB"/>
    </w:rPr>
  </w:style>
  <w:style w:type="paragraph" w:customStyle="1" w:styleId="115">
    <w:name w:val="Discusson B1"/>
    <w:basedOn w:val="90"/>
    <w:qFormat/>
    <w:uiPriority w:val="0"/>
    <w:pPr>
      <w:ind w:left="567" w:hanging="283"/>
    </w:pPr>
  </w:style>
  <w:style w:type="paragraph" w:customStyle="1" w:styleId="116">
    <w:name w:val="Discussion B2"/>
    <w:basedOn w:val="115"/>
    <w:qFormat/>
    <w:uiPriority w:val="0"/>
    <w:pPr>
      <w:ind w:left="851"/>
    </w:pPr>
  </w:style>
  <w:style w:type="character" w:customStyle="1" w:styleId="117">
    <w:name w:val="未处理的提及1"/>
    <w:basedOn w:val="45"/>
    <w:semiHidden/>
    <w:unhideWhenUsed/>
    <w:qFormat/>
    <w:uiPriority w:val="99"/>
    <w:rPr>
      <w:color w:val="605E5C"/>
      <w:shd w:val="clear" w:color="auto" w:fill="E1DFDD"/>
    </w:rPr>
  </w:style>
  <w:style w:type="paragraph" w:customStyle="1" w:styleId="118">
    <w:name w:val="3gpp title (city + tdoc number)"/>
    <w:basedOn w:val="34"/>
    <w:qFormat/>
    <w:uiPriority w:val="0"/>
    <w:pPr>
      <w:tabs>
        <w:tab w:val="right" w:pos="9923"/>
      </w:tabs>
      <w:ind w:right="-7"/>
    </w:pPr>
    <w:rPr>
      <w:rFonts w:cs="Arial"/>
      <w:bCs/>
      <w:sz w:val="24"/>
    </w:rPr>
  </w:style>
  <w:style w:type="paragraph" w:customStyle="1" w:styleId="119">
    <w:name w:val="_Style 2"/>
    <w:basedOn w:val="1"/>
    <w:qFormat/>
    <w:uiPriority w:val="1"/>
    <w:pPr>
      <w:spacing w:after="0" w:line="240" w:lineRule="auto"/>
    </w:pPr>
    <w:rPr>
      <w:rFonts w:eastAsia="Calibri"/>
      <w:lang w:val="en-GB" w:eastAsia="en-GB"/>
    </w:rPr>
  </w:style>
  <w:style w:type="paragraph" w:customStyle="1" w:styleId="120">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1">
    <w:name w:val="TAL + Left:  1 cm"/>
    <w:basedOn w:val="57"/>
    <w:qFormat/>
    <w:uiPriority w:val="0"/>
    <w:pPr>
      <w:overflowPunct w:val="0"/>
      <w:autoSpaceDE w:val="0"/>
      <w:autoSpaceDN w:val="0"/>
      <w:adjustRightInd w:val="0"/>
      <w:ind w:left="567"/>
      <w:textAlignment w:val="baseline"/>
    </w:pPr>
    <w:rPr>
      <w:lang w:eastAsia="en-GB"/>
    </w:rPr>
  </w:style>
  <w:style w:type="paragraph" w:customStyle="1" w:styleId="122">
    <w:name w:val="Source"/>
    <w:basedOn w:val="1"/>
    <w:qFormat/>
    <w:uiPriority w:val="0"/>
    <w:pPr>
      <w:spacing w:after="60"/>
      <w:ind w:left="1985" w:hanging="1985"/>
    </w:pPr>
    <w:rPr>
      <w:rFonts w:ascii="Arial" w:hAnsi="Arial" w:cs="Arial"/>
      <w:b/>
    </w:rPr>
  </w:style>
  <w:style w:type="paragraph" w:customStyle="1" w:styleId="123">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4">
    <w:name w:val="TAL + Left:  050 cm"/>
    <w:basedOn w:val="57"/>
    <w:qFormat/>
    <w:uiPriority w:val="0"/>
    <w:pPr>
      <w:overflowPunct w:val="0"/>
      <w:autoSpaceDE w:val="0"/>
      <w:autoSpaceDN w:val="0"/>
      <w:adjustRightInd w:val="0"/>
      <w:spacing w:line="0" w:lineRule="atLeast"/>
      <w:ind w:left="284"/>
      <w:textAlignment w:val="baseline"/>
    </w:pPr>
    <w:rPr>
      <w:rFonts w:eastAsia="Times New Roman"/>
      <w:lang w:val="en-GB" w:eastAsia="en-GB"/>
    </w:rPr>
  </w:style>
  <w:style w:type="paragraph" w:customStyle="1" w:styleId="125">
    <w:name w:val="TAL + Left:  0"/>
    <w:basedOn w:val="57"/>
    <w:qFormat/>
    <w:uiPriority w:val="0"/>
    <w:pPr>
      <w:overflowPunct w:val="0"/>
      <w:autoSpaceDE w:val="0"/>
      <w:autoSpaceDN w:val="0"/>
      <w:adjustRightInd w:val="0"/>
      <w:spacing w:line="0" w:lineRule="atLeast"/>
      <w:ind w:left="142"/>
      <w:textAlignment w:val="baseline"/>
    </w:pPr>
    <w:rPr>
      <w:rFonts w:eastAsia="Times New Roman"/>
      <w:lang w:val="en-GB" w:eastAsia="en-GB"/>
    </w:rPr>
  </w:style>
  <w:style w:type="paragraph" w:styleId="126">
    <w:name w:val="List Paragraph"/>
    <w:basedOn w:val="1"/>
    <w:qFormat/>
    <w:uiPriority w:val="99"/>
    <w:pPr>
      <w:ind w:left="720"/>
      <w:contextualSpacing/>
    </w:pPr>
  </w:style>
  <w:style w:type="paragraph" w:customStyle="1" w:styleId="127">
    <w:name w:val="Normal"/>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4</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2024-05-10T06:42:01Z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6BF5D17692804673B3F674088B590121</vt:lpwstr>
  </property>
</Properties>
</file>